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2C" w:rsidRDefault="00964E2C" w:rsidP="00964E2C">
      <w:bookmarkStart w:id="0" w:name="_GoBack"/>
      <w:bookmarkEnd w:id="0"/>
    </w:p>
    <w:p w:rsidR="00964E2C" w:rsidRDefault="00964E2C" w:rsidP="00964E2C"/>
    <w:p w:rsidR="009B6F3D" w:rsidRDefault="009B6F3D" w:rsidP="00964E2C"/>
    <w:p w:rsidR="009B6F3D" w:rsidRDefault="009B6F3D" w:rsidP="00964E2C"/>
    <w:p w:rsidR="009B6F3D" w:rsidRDefault="009B6F3D" w:rsidP="00964E2C"/>
    <w:p w:rsidR="009B6F3D" w:rsidRDefault="009B6F3D" w:rsidP="00964E2C"/>
    <w:p w:rsidR="00964E2C" w:rsidRDefault="00964E2C" w:rsidP="00964E2C"/>
    <w:p w:rsidR="00964E2C" w:rsidRDefault="00964E2C" w:rsidP="00964E2C"/>
    <w:p w:rsidR="000B753C" w:rsidRPr="00D34A3C" w:rsidRDefault="000B753C" w:rsidP="009B6F3D">
      <w:pPr>
        <w:pStyle w:val="Title"/>
      </w:pPr>
      <w:r w:rsidRPr="00D34A3C">
        <w:t>E</w:t>
      </w:r>
      <w:r w:rsidR="00BC4222">
        <w:t>xploring the U</w:t>
      </w:r>
      <w:r w:rsidR="005B68C4" w:rsidRPr="00D34A3C">
        <w:t>se of Accounting History in Post-Enron Stories</w:t>
      </w:r>
      <w:r w:rsidRPr="00D34A3C">
        <w:t xml:space="preserve"> </w:t>
      </w:r>
    </w:p>
    <w:p w:rsidR="00964E2C" w:rsidRDefault="00964E2C" w:rsidP="00964E2C"/>
    <w:p w:rsidR="00964E2C" w:rsidRPr="009B6F3D" w:rsidRDefault="00964E2C" w:rsidP="00964E2C">
      <w:pPr>
        <w:pStyle w:val="Title"/>
        <w:rPr>
          <w:rFonts w:cs="Times New Roman"/>
          <w:b w:val="0"/>
          <w:sz w:val="28"/>
          <w:szCs w:val="28"/>
          <w:vertAlign w:val="superscript"/>
        </w:rPr>
      </w:pPr>
      <w:r w:rsidRPr="009B6F3D">
        <w:rPr>
          <w:b w:val="0"/>
          <w:sz w:val="28"/>
          <w:szCs w:val="28"/>
        </w:rPr>
        <w:t>Garry D. Carnegie</w:t>
      </w:r>
      <w:r w:rsidRPr="009B6F3D">
        <w:rPr>
          <w:b w:val="0"/>
          <w:sz w:val="28"/>
          <w:szCs w:val="28"/>
          <w:vertAlign w:val="superscript"/>
        </w:rPr>
        <w:t>(1)*</w:t>
      </w:r>
      <w:r w:rsidRPr="009B6F3D">
        <w:rPr>
          <w:b w:val="0"/>
          <w:sz w:val="28"/>
          <w:szCs w:val="28"/>
        </w:rPr>
        <w:t xml:space="preserve"> and Christopher J. Napier</w:t>
      </w:r>
      <w:r w:rsidRPr="009B6F3D">
        <w:rPr>
          <w:rFonts w:cs="Times New Roman"/>
          <w:b w:val="0"/>
          <w:sz w:val="28"/>
          <w:szCs w:val="28"/>
          <w:vertAlign w:val="superscript"/>
        </w:rPr>
        <w:t>(2)</w:t>
      </w:r>
    </w:p>
    <w:p w:rsidR="00964E2C" w:rsidRDefault="00964E2C" w:rsidP="00964E2C">
      <w:pPr>
        <w:pStyle w:val="Title"/>
      </w:pPr>
    </w:p>
    <w:p w:rsidR="00964E2C" w:rsidRDefault="00964E2C" w:rsidP="00964E2C">
      <w:pPr>
        <w:pStyle w:val="Title"/>
      </w:pPr>
    </w:p>
    <w:tbl>
      <w:tblPr>
        <w:tblW w:w="0" w:type="auto"/>
        <w:tblLook w:val="01E0"/>
      </w:tblPr>
      <w:tblGrid>
        <w:gridCol w:w="1008"/>
        <w:gridCol w:w="3420"/>
        <w:gridCol w:w="540"/>
        <w:gridCol w:w="3554"/>
      </w:tblGrid>
      <w:tr w:rsidR="00B338B5" w:rsidRPr="009B6F3D">
        <w:tc>
          <w:tcPr>
            <w:tcW w:w="1008" w:type="dxa"/>
          </w:tcPr>
          <w:p w:rsidR="00964E2C" w:rsidRDefault="00964E2C" w:rsidP="009B6F3D">
            <w:pPr>
              <w:pStyle w:val="Coverdata"/>
            </w:pPr>
            <w:r>
              <w:t>(1)</w:t>
            </w:r>
          </w:p>
          <w:p w:rsidR="00964E2C" w:rsidRDefault="00964E2C" w:rsidP="009B6F3D">
            <w:pPr>
              <w:pStyle w:val="Coverdata"/>
            </w:pPr>
          </w:p>
          <w:p w:rsidR="00964E2C" w:rsidRDefault="00964E2C" w:rsidP="009B6F3D">
            <w:pPr>
              <w:pStyle w:val="Coverdata"/>
            </w:pPr>
          </w:p>
          <w:p w:rsidR="00964E2C" w:rsidRDefault="00964E2C" w:rsidP="009B6F3D">
            <w:pPr>
              <w:pStyle w:val="Coverdata"/>
            </w:pPr>
          </w:p>
          <w:p w:rsidR="00964E2C" w:rsidRDefault="00964E2C" w:rsidP="009B6F3D">
            <w:pPr>
              <w:pStyle w:val="Coverdata"/>
            </w:pPr>
          </w:p>
          <w:p w:rsidR="00964E2C" w:rsidRDefault="00964E2C" w:rsidP="009B6F3D">
            <w:pPr>
              <w:pStyle w:val="Coverdata"/>
            </w:pPr>
          </w:p>
          <w:p w:rsidR="00964E2C" w:rsidRDefault="00964E2C" w:rsidP="009B6F3D">
            <w:pPr>
              <w:pStyle w:val="Coverdata"/>
            </w:pPr>
          </w:p>
          <w:p w:rsidR="00964E2C" w:rsidRDefault="00964E2C" w:rsidP="009B6F3D">
            <w:pPr>
              <w:pStyle w:val="Coverdata"/>
            </w:pPr>
            <w:r>
              <w:t>Tel:</w:t>
            </w:r>
          </w:p>
          <w:p w:rsidR="00964E2C" w:rsidRDefault="00964E2C" w:rsidP="009B6F3D">
            <w:pPr>
              <w:pStyle w:val="Coverdata"/>
            </w:pPr>
            <w:r>
              <w:t>E-mail:</w:t>
            </w:r>
          </w:p>
          <w:p w:rsidR="00964E2C" w:rsidRDefault="00964E2C" w:rsidP="009B6F3D">
            <w:pPr>
              <w:pStyle w:val="Coverdata"/>
            </w:pPr>
          </w:p>
          <w:p w:rsidR="00964E2C" w:rsidRDefault="00964E2C" w:rsidP="009B6F3D">
            <w:pPr>
              <w:pStyle w:val="Coverdata"/>
            </w:pPr>
            <w:r>
              <w:t>*</w:t>
            </w:r>
          </w:p>
        </w:tc>
        <w:tc>
          <w:tcPr>
            <w:tcW w:w="3420" w:type="dxa"/>
          </w:tcPr>
          <w:p w:rsidR="00853234" w:rsidRDefault="00964E2C" w:rsidP="009B6F3D">
            <w:pPr>
              <w:pStyle w:val="Coverdata"/>
            </w:pPr>
            <w:r>
              <w:t xml:space="preserve">School of </w:t>
            </w:r>
            <w:r w:rsidR="00F779D0">
              <w:t>Accounting</w:t>
            </w:r>
          </w:p>
          <w:p w:rsidR="00964E2C" w:rsidRDefault="00F779D0" w:rsidP="009B6F3D">
            <w:pPr>
              <w:pStyle w:val="Coverdata"/>
            </w:pPr>
            <w:r>
              <w:t>RM</w:t>
            </w:r>
            <w:r w:rsidR="00236846">
              <w:t>IT University</w:t>
            </w:r>
          </w:p>
          <w:p w:rsidR="00964E2C" w:rsidRDefault="00236846" w:rsidP="009B6F3D">
            <w:pPr>
              <w:pStyle w:val="Coverdata"/>
            </w:pPr>
            <w:r>
              <w:t>G</w:t>
            </w:r>
            <w:r w:rsidR="00964E2C">
              <w:t xml:space="preserve">PO Box </w:t>
            </w:r>
            <w:r>
              <w:t>2476</w:t>
            </w:r>
          </w:p>
          <w:p w:rsidR="00964E2C" w:rsidRPr="00C14569" w:rsidRDefault="00236846" w:rsidP="009B6F3D">
            <w:pPr>
              <w:pStyle w:val="Coverdata"/>
              <w:rPr>
                <w:lang w:val="it-IT"/>
              </w:rPr>
            </w:pPr>
            <w:r w:rsidRPr="00C14569">
              <w:rPr>
                <w:lang w:val="it-IT"/>
              </w:rPr>
              <w:t>Melbourne, VIC</w:t>
            </w:r>
            <w:r w:rsidR="00964E2C" w:rsidRPr="00C14569">
              <w:rPr>
                <w:lang w:val="it-IT"/>
              </w:rPr>
              <w:t xml:space="preserve"> </w:t>
            </w:r>
            <w:r w:rsidRPr="00C14569">
              <w:rPr>
                <w:lang w:val="it-IT"/>
              </w:rPr>
              <w:t>3001</w:t>
            </w:r>
          </w:p>
          <w:p w:rsidR="00964E2C" w:rsidRPr="00C14569" w:rsidRDefault="00964E2C" w:rsidP="009B6F3D">
            <w:pPr>
              <w:pStyle w:val="Coverdata"/>
              <w:rPr>
                <w:lang w:val="it-IT"/>
              </w:rPr>
            </w:pPr>
            <w:r w:rsidRPr="00C14569">
              <w:rPr>
                <w:lang w:val="it-IT"/>
              </w:rPr>
              <w:t>Australia</w:t>
            </w:r>
          </w:p>
          <w:p w:rsidR="00964E2C" w:rsidRPr="00C14569" w:rsidRDefault="00964E2C" w:rsidP="009B6F3D">
            <w:pPr>
              <w:pStyle w:val="Coverdata"/>
              <w:rPr>
                <w:lang w:val="it-IT"/>
              </w:rPr>
            </w:pPr>
          </w:p>
          <w:p w:rsidR="00964E2C" w:rsidRPr="00C14569" w:rsidRDefault="00964E2C" w:rsidP="009B6F3D">
            <w:pPr>
              <w:pStyle w:val="Coverdata"/>
              <w:rPr>
                <w:lang w:val="it-IT"/>
              </w:rPr>
            </w:pPr>
          </w:p>
          <w:p w:rsidR="00964E2C" w:rsidRPr="00C14569" w:rsidRDefault="00964E2C" w:rsidP="009B6F3D">
            <w:pPr>
              <w:pStyle w:val="Coverdata"/>
              <w:rPr>
                <w:lang w:val="it-IT"/>
              </w:rPr>
            </w:pPr>
            <w:r w:rsidRPr="00C14569">
              <w:rPr>
                <w:lang w:val="it-IT"/>
              </w:rPr>
              <w:t xml:space="preserve">+61 3 </w:t>
            </w:r>
            <w:r w:rsidR="00236846" w:rsidRPr="00C14569">
              <w:rPr>
                <w:lang w:val="it-IT"/>
              </w:rPr>
              <w:t>9925 5721</w:t>
            </w:r>
          </w:p>
          <w:p w:rsidR="00964E2C" w:rsidRPr="00C14569" w:rsidRDefault="00B663C3" w:rsidP="009B6F3D">
            <w:pPr>
              <w:pStyle w:val="Coverdata"/>
              <w:rPr>
                <w:lang w:val="it-IT"/>
              </w:rPr>
            </w:pPr>
            <w:hyperlink r:id="rId7" w:history="1">
              <w:r w:rsidR="00236846" w:rsidRPr="00C14569">
                <w:rPr>
                  <w:rStyle w:val="Hyperlink"/>
                  <w:lang w:val="it-IT"/>
                </w:rPr>
                <w:t>garry.carnegie@rmit.edu.au</w:t>
              </w:r>
            </w:hyperlink>
          </w:p>
          <w:p w:rsidR="00964E2C" w:rsidRPr="00C14569" w:rsidRDefault="00964E2C" w:rsidP="009B6F3D">
            <w:pPr>
              <w:pStyle w:val="Coverdata"/>
              <w:rPr>
                <w:lang w:val="it-IT"/>
              </w:rPr>
            </w:pPr>
          </w:p>
          <w:p w:rsidR="00964E2C" w:rsidRDefault="00964E2C" w:rsidP="009B6F3D">
            <w:pPr>
              <w:pStyle w:val="Coverdata"/>
            </w:pPr>
            <w:r>
              <w:t>Corresponding author</w:t>
            </w:r>
          </w:p>
        </w:tc>
        <w:tc>
          <w:tcPr>
            <w:tcW w:w="540" w:type="dxa"/>
          </w:tcPr>
          <w:p w:rsidR="00964E2C" w:rsidRDefault="00964E2C" w:rsidP="009B6F3D">
            <w:pPr>
              <w:pStyle w:val="Coverdata"/>
              <w:jc w:val="center"/>
            </w:pPr>
            <w:r>
              <w:t>(2)</w:t>
            </w: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p w:rsidR="00964E2C" w:rsidRDefault="00964E2C" w:rsidP="009B6F3D">
            <w:pPr>
              <w:pStyle w:val="Coverdata"/>
              <w:jc w:val="center"/>
            </w:pPr>
          </w:p>
        </w:tc>
        <w:tc>
          <w:tcPr>
            <w:tcW w:w="3554" w:type="dxa"/>
          </w:tcPr>
          <w:p w:rsidR="00964E2C" w:rsidRDefault="00964E2C" w:rsidP="009B6F3D">
            <w:pPr>
              <w:pStyle w:val="Coverdata"/>
            </w:pPr>
            <w:r>
              <w:t>School of Management</w:t>
            </w:r>
          </w:p>
          <w:p w:rsidR="00964E2C" w:rsidRDefault="00964E2C" w:rsidP="009B6F3D">
            <w:pPr>
              <w:pStyle w:val="Coverdata"/>
              <w:jc w:val="left"/>
            </w:pPr>
            <w:r>
              <w:t>Royal Holloway, University of London</w:t>
            </w:r>
          </w:p>
          <w:p w:rsidR="00964E2C" w:rsidRPr="009B6F3D" w:rsidRDefault="00964E2C" w:rsidP="009B6F3D">
            <w:pPr>
              <w:pStyle w:val="Coverdata"/>
              <w:rPr>
                <w:lang w:val="pt-PT"/>
              </w:rPr>
            </w:pPr>
            <w:r w:rsidRPr="009B6F3D">
              <w:rPr>
                <w:lang w:val="pt-PT"/>
              </w:rPr>
              <w:t>Egham, Surrey</w:t>
            </w:r>
          </w:p>
          <w:p w:rsidR="00964E2C" w:rsidRPr="009B6F3D" w:rsidRDefault="00964E2C" w:rsidP="009B6F3D">
            <w:pPr>
              <w:pStyle w:val="Coverdata"/>
              <w:rPr>
                <w:lang w:val="pt-PT"/>
              </w:rPr>
            </w:pPr>
            <w:r w:rsidRPr="009B6F3D">
              <w:rPr>
                <w:lang w:val="pt-PT"/>
              </w:rPr>
              <w:t>TW20 0EX</w:t>
            </w:r>
          </w:p>
          <w:p w:rsidR="00964E2C" w:rsidRPr="009B6F3D" w:rsidRDefault="00964E2C" w:rsidP="009B6F3D">
            <w:pPr>
              <w:pStyle w:val="Coverdata"/>
              <w:rPr>
                <w:lang w:val="pt-PT"/>
              </w:rPr>
            </w:pPr>
            <w:r w:rsidRPr="009B6F3D">
              <w:rPr>
                <w:lang w:val="pt-PT"/>
              </w:rPr>
              <w:t>UK</w:t>
            </w:r>
          </w:p>
          <w:p w:rsidR="00964E2C" w:rsidRPr="009B6F3D" w:rsidRDefault="00964E2C" w:rsidP="009B6F3D">
            <w:pPr>
              <w:pStyle w:val="Coverdata"/>
              <w:rPr>
                <w:lang w:val="pt-PT"/>
              </w:rPr>
            </w:pPr>
          </w:p>
          <w:p w:rsidR="00964E2C" w:rsidRPr="009B6F3D" w:rsidRDefault="00964E2C" w:rsidP="009B6F3D">
            <w:pPr>
              <w:pStyle w:val="Coverdata"/>
              <w:rPr>
                <w:lang w:val="pt-PT"/>
              </w:rPr>
            </w:pPr>
            <w:r w:rsidRPr="009B6F3D">
              <w:rPr>
                <w:lang w:val="pt-PT"/>
              </w:rPr>
              <w:t>+44 1784 276121</w:t>
            </w:r>
          </w:p>
          <w:p w:rsidR="00964E2C" w:rsidRPr="009B6F3D" w:rsidRDefault="00B663C3" w:rsidP="009B6F3D">
            <w:pPr>
              <w:pStyle w:val="Coverdata"/>
              <w:rPr>
                <w:lang w:val="pt-PT"/>
              </w:rPr>
            </w:pPr>
            <w:hyperlink r:id="rId8" w:history="1">
              <w:r w:rsidR="00964E2C" w:rsidRPr="009B6F3D">
                <w:rPr>
                  <w:rStyle w:val="Hyperlink"/>
                  <w:lang w:val="pt-PT"/>
                </w:rPr>
                <w:t>christopher.napier@rhul.ac.uk</w:t>
              </w:r>
            </w:hyperlink>
          </w:p>
          <w:p w:rsidR="00964E2C" w:rsidRPr="009B6F3D" w:rsidRDefault="00964E2C" w:rsidP="009B6F3D">
            <w:pPr>
              <w:pStyle w:val="Coverdata"/>
              <w:spacing w:line="360" w:lineRule="auto"/>
              <w:rPr>
                <w:lang w:val="pt-PT"/>
              </w:rPr>
            </w:pPr>
          </w:p>
          <w:p w:rsidR="00236846" w:rsidRPr="009B6F3D" w:rsidRDefault="00236846" w:rsidP="009B6F3D">
            <w:pPr>
              <w:pStyle w:val="Coverdata"/>
              <w:spacing w:line="360" w:lineRule="auto"/>
              <w:rPr>
                <w:lang w:val="pt-PT"/>
              </w:rPr>
            </w:pPr>
          </w:p>
          <w:p w:rsidR="00964E2C" w:rsidRPr="009B6F3D" w:rsidRDefault="00964E2C" w:rsidP="009B6F3D">
            <w:pPr>
              <w:pStyle w:val="Coverdata"/>
              <w:rPr>
                <w:lang w:val="pt-PT"/>
              </w:rPr>
            </w:pPr>
          </w:p>
        </w:tc>
      </w:tr>
    </w:tbl>
    <w:p w:rsidR="00964E2C" w:rsidRPr="00236846" w:rsidRDefault="00964E2C" w:rsidP="00964E2C">
      <w:pPr>
        <w:pStyle w:val="Coverdata"/>
        <w:rPr>
          <w:lang w:val="pt-PT"/>
        </w:rPr>
      </w:pPr>
    </w:p>
    <w:p w:rsidR="00964E2C" w:rsidRDefault="00964E2C" w:rsidP="00964E2C">
      <w:pPr>
        <w:pStyle w:val="Coverdata"/>
      </w:pPr>
    </w:p>
    <w:p w:rsidR="00B9791F" w:rsidRDefault="00B9791F" w:rsidP="00964E2C">
      <w:pPr>
        <w:pStyle w:val="Coverdata"/>
      </w:pPr>
    </w:p>
    <w:p w:rsidR="00B9791F" w:rsidRDefault="00B9791F" w:rsidP="00964E2C">
      <w:pPr>
        <w:pStyle w:val="Coverdata"/>
      </w:pPr>
    </w:p>
    <w:p w:rsidR="00B9791F" w:rsidRDefault="00B9791F" w:rsidP="00964E2C">
      <w:pPr>
        <w:pStyle w:val="Coverdata"/>
      </w:pPr>
    </w:p>
    <w:p w:rsidR="00B9791F" w:rsidRDefault="00B9791F" w:rsidP="00964E2C">
      <w:pPr>
        <w:pStyle w:val="Coverdata"/>
      </w:pPr>
    </w:p>
    <w:p w:rsidR="00B9791F" w:rsidRDefault="00B9791F" w:rsidP="00964E2C">
      <w:pPr>
        <w:pStyle w:val="Coverdata"/>
      </w:pPr>
    </w:p>
    <w:p w:rsidR="00B9791F" w:rsidRPr="00B9791F" w:rsidRDefault="00B9791F" w:rsidP="00964E2C">
      <w:pPr>
        <w:pStyle w:val="Coverdata"/>
        <w:rPr>
          <w:b/>
        </w:rPr>
      </w:pPr>
      <w:r>
        <w:rPr>
          <w:b/>
        </w:rPr>
        <w:t>DRAFT: Not for quotation without the authors’ consent</w:t>
      </w:r>
    </w:p>
    <w:p w:rsidR="00D34A3C" w:rsidRDefault="009B6F3D" w:rsidP="009B6F3D">
      <w:pPr>
        <w:pStyle w:val="Title"/>
      </w:pPr>
      <w:r>
        <w:br w:type="page"/>
      </w:r>
      <w:r w:rsidR="00D34A3C" w:rsidRPr="009B6F3D">
        <w:lastRenderedPageBreak/>
        <w:t xml:space="preserve">Exploring the </w:t>
      </w:r>
      <w:r w:rsidR="00BC4222" w:rsidRPr="009B6F3D">
        <w:t>U</w:t>
      </w:r>
      <w:r w:rsidR="00D34A3C" w:rsidRPr="009B6F3D">
        <w:t xml:space="preserve">se of Accounting History in Post-Enron Stories </w:t>
      </w:r>
    </w:p>
    <w:p w:rsidR="00C14569" w:rsidRPr="009B6F3D" w:rsidRDefault="00C14569" w:rsidP="009B6F3D">
      <w:pPr>
        <w:pStyle w:val="Title"/>
      </w:pPr>
    </w:p>
    <w:p w:rsidR="00C14569" w:rsidRDefault="00AA7186" w:rsidP="00E33B39">
      <w:pPr>
        <w:pStyle w:val="Title"/>
      </w:pPr>
      <w:r w:rsidRPr="00AD3A48">
        <w:t>ABSTRACT</w:t>
      </w:r>
    </w:p>
    <w:p w:rsidR="00242E1F" w:rsidRDefault="00242E1F" w:rsidP="00C14569">
      <w:pPr>
        <w:pStyle w:val="Title"/>
        <w:spacing w:line="480" w:lineRule="auto"/>
        <w:jc w:val="left"/>
        <w:rPr>
          <w:b w:val="0"/>
          <w:sz w:val="24"/>
          <w:szCs w:val="24"/>
        </w:rPr>
      </w:pPr>
    </w:p>
    <w:p w:rsidR="00C14569" w:rsidRDefault="00C14569" w:rsidP="00C14569">
      <w:pPr>
        <w:pStyle w:val="Title"/>
        <w:spacing w:line="480" w:lineRule="auto"/>
        <w:jc w:val="left"/>
        <w:rPr>
          <w:b w:val="0"/>
          <w:sz w:val="24"/>
          <w:szCs w:val="24"/>
        </w:rPr>
      </w:pPr>
      <w:r w:rsidRPr="00C14569">
        <w:rPr>
          <w:b w:val="0"/>
          <w:sz w:val="24"/>
          <w:szCs w:val="24"/>
        </w:rPr>
        <w:t xml:space="preserve">This study </w:t>
      </w:r>
      <w:r w:rsidR="00CD01DA">
        <w:rPr>
          <w:b w:val="0"/>
          <w:sz w:val="24"/>
          <w:szCs w:val="24"/>
        </w:rPr>
        <w:t>uses the concept of “</w:t>
      </w:r>
      <w:r w:rsidRPr="00C14569">
        <w:rPr>
          <w:b w:val="0"/>
          <w:sz w:val="24"/>
          <w:szCs w:val="24"/>
        </w:rPr>
        <w:t>popular history</w:t>
      </w:r>
      <w:r w:rsidR="00CD01DA">
        <w:rPr>
          <w:b w:val="0"/>
          <w:sz w:val="24"/>
          <w:szCs w:val="24"/>
        </w:rPr>
        <w:t>” to</w:t>
      </w:r>
      <w:r w:rsidRPr="00C14569">
        <w:rPr>
          <w:b w:val="0"/>
          <w:sz w:val="24"/>
          <w:szCs w:val="24"/>
        </w:rPr>
        <w:t xml:space="preserve"> address the use of accounting history in post-Enron stories on corporate collapse and accounting failure.  The study extends the </w:t>
      </w:r>
      <w:r w:rsidR="00D00851">
        <w:rPr>
          <w:b w:val="0"/>
          <w:sz w:val="24"/>
          <w:szCs w:val="24"/>
        </w:rPr>
        <w:t>work</w:t>
      </w:r>
      <w:r w:rsidRPr="00C14569">
        <w:rPr>
          <w:b w:val="0"/>
          <w:sz w:val="24"/>
          <w:szCs w:val="24"/>
        </w:rPr>
        <w:t xml:space="preserve"> o</w:t>
      </w:r>
      <w:r w:rsidR="00A15232">
        <w:rPr>
          <w:b w:val="0"/>
          <w:sz w:val="24"/>
          <w:szCs w:val="24"/>
        </w:rPr>
        <w:t>f Carnegie and Napier (2010)</w:t>
      </w:r>
      <w:r w:rsidR="00CD01DA">
        <w:rPr>
          <w:b w:val="0"/>
          <w:sz w:val="24"/>
          <w:szCs w:val="24"/>
        </w:rPr>
        <w:t>,</w:t>
      </w:r>
      <w:r w:rsidR="00A15232">
        <w:rPr>
          <w:b w:val="0"/>
          <w:sz w:val="24"/>
          <w:szCs w:val="24"/>
        </w:rPr>
        <w:t xml:space="preserve"> which</w:t>
      </w:r>
      <w:r w:rsidRPr="00C14569">
        <w:rPr>
          <w:b w:val="0"/>
          <w:sz w:val="24"/>
          <w:szCs w:val="24"/>
        </w:rPr>
        <w:t xml:space="preserve"> focuse</w:t>
      </w:r>
      <w:r w:rsidR="00214837">
        <w:rPr>
          <w:b w:val="0"/>
          <w:sz w:val="24"/>
          <w:szCs w:val="24"/>
        </w:rPr>
        <w:t>s</w:t>
      </w:r>
      <w:r w:rsidRPr="00C14569">
        <w:rPr>
          <w:b w:val="0"/>
          <w:sz w:val="24"/>
          <w:szCs w:val="24"/>
        </w:rPr>
        <w:t xml:space="preserve"> on how professional accountants and their firms and organ</w:t>
      </w:r>
      <w:r w:rsidR="00DF7C8D">
        <w:rPr>
          <w:b w:val="0"/>
          <w:sz w:val="24"/>
          <w:szCs w:val="24"/>
        </w:rPr>
        <w:t>ization</w:t>
      </w:r>
      <w:r w:rsidRPr="00C14569">
        <w:rPr>
          <w:b w:val="0"/>
          <w:sz w:val="24"/>
          <w:szCs w:val="24"/>
        </w:rPr>
        <w:t xml:space="preserve">s were portrayed in post-Enron books that were published during the period 2002 to 2005.  </w:t>
      </w:r>
      <w:r w:rsidR="00CD01DA">
        <w:rPr>
          <w:b w:val="0"/>
          <w:sz w:val="24"/>
          <w:szCs w:val="24"/>
        </w:rPr>
        <w:t>These books can be character</w:t>
      </w:r>
      <w:r w:rsidR="00DF7C8D">
        <w:rPr>
          <w:b w:val="0"/>
          <w:sz w:val="24"/>
          <w:szCs w:val="24"/>
        </w:rPr>
        <w:t>ize</w:t>
      </w:r>
      <w:r w:rsidR="00CD01DA">
        <w:rPr>
          <w:b w:val="0"/>
          <w:sz w:val="24"/>
          <w:szCs w:val="24"/>
        </w:rPr>
        <w:t xml:space="preserve">d as “popular histories”, and </w:t>
      </w:r>
      <w:r w:rsidRPr="00C14569">
        <w:rPr>
          <w:b w:val="0"/>
          <w:sz w:val="24"/>
          <w:szCs w:val="24"/>
        </w:rPr>
        <w:t xml:space="preserve">the </w:t>
      </w:r>
      <w:r w:rsidR="00CD01DA">
        <w:rPr>
          <w:b w:val="0"/>
          <w:sz w:val="24"/>
          <w:szCs w:val="24"/>
        </w:rPr>
        <w:t>paper</w:t>
      </w:r>
      <w:r w:rsidRPr="00C14569">
        <w:rPr>
          <w:b w:val="0"/>
          <w:sz w:val="24"/>
          <w:szCs w:val="24"/>
        </w:rPr>
        <w:t xml:space="preserve"> illustrates how the scholar</w:t>
      </w:r>
      <w:r w:rsidR="00CD01DA">
        <w:rPr>
          <w:b w:val="0"/>
          <w:sz w:val="24"/>
          <w:szCs w:val="24"/>
        </w:rPr>
        <w:t>l</w:t>
      </w:r>
      <w:r w:rsidRPr="00C14569">
        <w:rPr>
          <w:b w:val="0"/>
          <w:sz w:val="24"/>
          <w:szCs w:val="24"/>
        </w:rPr>
        <w:t xml:space="preserve">y work of </w:t>
      </w:r>
      <w:r w:rsidR="00CD01DA">
        <w:rPr>
          <w:b w:val="0"/>
          <w:sz w:val="24"/>
          <w:szCs w:val="24"/>
        </w:rPr>
        <w:t xml:space="preserve">academic </w:t>
      </w:r>
      <w:r w:rsidRPr="00C14569">
        <w:rPr>
          <w:b w:val="0"/>
          <w:sz w:val="24"/>
          <w:szCs w:val="24"/>
        </w:rPr>
        <w:t xml:space="preserve">accounting historians is given little attention by the authors of these post-Enron stories.  It points to the </w:t>
      </w:r>
      <w:r w:rsidR="00214837">
        <w:rPr>
          <w:b w:val="0"/>
          <w:sz w:val="24"/>
          <w:szCs w:val="24"/>
        </w:rPr>
        <w:t xml:space="preserve">largely </w:t>
      </w:r>
      <w:r w:rsidRPr="00C14569">
        <w:rPr>
          <w:b w:val="0"/>
          <w:sz w:val="24"/>
          <w:szCs w:val="24"/>
        </w:rPr>
        <w:t xml:space="preserve">untapped potential for accounting historians </w:t>
      </w:r>
      <w:r w:rsidR="00214837">
        <w:rPr>
          <w:b w:val="0"/>
          <w:sz w:val="24"/>
          <w:szCs w:val="24"/>
        </w:rPr>
        <w:t>to</w:t>
      </w:r>
      <w:r w:rsidRPr="00C14569">
        <w:rPr>
          <w:b w:val="0"/>
          <w:sz w:val="24"/>
          <w:szCs w:val="24"/>
        </w:rPr>
        <w:t xml:space="preserve"> mak</w:t>
      </w:r>
      <w:r w:rsidR="00214837">
        <w:rPr>
          <w:b w:val="0"/>
          <w:sz w:val="24"/>
          <w:szCs w:val="24"/>
        </w:rPr>
        <w:t>e</w:t>
      </w:r>
      <w:r w:rsidRPr="00C14569">
        <w:rPr>
          <w:b w:val="0"/>
          <w:sz w:val="24"/>
          <w:szCs w:val="24"/>
        </w:rPr>
        <w:t xml:space="preserve"> their research findings and insights available for a general readership.</w:t>
      </w:r>
    </w:p>
    <w:p w:rsidR="00CD01DA" w:rsidRPr="00E33B39" w:rsidRDefault="00E33B39" w:rsidP="00C14569">
      <w:pPr>
        <w:pStyle w:val="Title"/>
        <w:spacing w:line="480" w:lineRule="auto"/>
        <w:jc w:val="left"/>
        <w:rPr>
          <w:b w:val="0"/>
          <w:sz w:val="24"/>
          <w:szCs w:val="24"/>
        </w:rPr>
      </w:pPr>
      <w:r>
        <w:rPr>
          <w:sz w:val="24"/>
          <w:szCs w:val="24"/>
        </w:rPr>
        <w:t>Key words</w:t>
      </w:r>
      <w:r w:rsidR="00933A4D">
        <w:rPr>
          <w:b w:val="0"/>
          <w:sz w:val="24"/>
          <w:szCs w:val="24"/>
        </w:rPr>
        <w:t>: p</w:t>
      </w:r>
      <w:r>
        <w:rPr>
          <w:b w:val="0"/>
          <w:sz w:val="24"/>
          <w:szCs w:val="24"/>
        </w:rPr>
        <w:t>opular history, accounting history, accounting profession, Enron, Arthur Andersen</w:t>
      </w:r>
    </w:p>
    <w:p w:rsidR="00CD01DA" w:rsidRDefault="00CD01DA" w:rsidP="00C14569">
      <w:pPr>
        <w:pStyle w:val="Title"/>
        <w:spacing w:line="480" w:lineRule="auto"/>
        <w:jc w:val="left"/>
        <w:rPr>
          <w:b w:val="0"/>
          <w:sz w:val="24"/>
          <w:szCs w:val="24"/>
        </w:rPr>
      </w:pPr>
    </w:p>
    <w:p w:rsidR="00CD01DA" w:rsidRPr="00C14569" w:rsidRDefault="00CD01DA" w:rsidP="00C14569">
      <w:pPr>
        <w:pStyle w:val="Title"/>
        <w:spacing w:line="480" w:lineRule="auto"/>
        <w:jc w:val="left"/>
        <w:rPr>
          <w:b w:val="0"/>
          <w:sz w:val="24"/>
          <w:szCs w:val="24"/>
        </w:rPr>
        <w:sectPr w:rsidR="00CD01DA" w:rsidRPr="00C14569">
          <w:headerReference w:type="default" r:id="rId9"/>
          <w:footerReference w:type="even" r:id="rId10"/>
          <w:footerReference w:type="default" r:id="rId11"/>
          <w:pgSz w:w="11906" w:h="16838"/>
          <w:pgMar w:top="1440" w:right="1800" w:bottom="1440" w:left="1800" w:header="708" w:footer="708" w:gutter="0"/>
          <w:cols w:space="708"/>
          <w:docGrid w:linePitch="360"/>
        </w:sectPr>
      </w:pPr>
    </w:p>
    <w:p w:rsidR="00D34A3C" w:rsidRPr="00D34A3C" w:rsidRDefault="00D34A3C" w:rsidP="009B6F3D">
      <w:pPr>
        <w:pStyle w:val="Title"/>
      </w:pPr>
      <w:r w:rsidRPr="00D34A3C">
        <w:lastRenderedPageBreak/>
        <w:t xml:space="preserve">Exploring the </w:t>
      </w:r>
      <w:r w:rsidR="00BC4222">
        <w:t>U</w:t>
      </w:r>
      <w:r w:rsidRPr="00D34A3C">
        <w:t xml:space="preserve">se of Accounting History in Post-Enron Stories </w:t>
      </w:r>
    </w:p>
    <w:p w:rsidR="00734B6E" w:rsidRDefault="00734B6E" w:rsidP="00734B6E">
      <w:pPr>
        <w:ind w:firstLine="0"/>
      </w:pPr>
    </w:p>
    <w:p w:rsidR="00E1434D" w:rsidRDefault="00E1434D" w:rsidP="00734B6E">
      <w:pPr>
        <w:ind w:firstLine="0"/>
        <w:rPr>
          <w:b/>
        </w:rPr>
      </w:pPr>
      <w:r w:rsidRPr="00E1434D">
        <w:rPr>
          <w:b/>
        </w:rPr>
        <w:t>Introduction</w:t>
      </w:r>
    </w:p>
    <w:p w:rsidR="00DB3371" w:rsidRDefault="00BC4222" w:rsidP="00DF7C8D">
      <w:r>
        <w:t>The</w:t>
      </w:r>
      <w:r w:rsidR="0035045F">
        <w:t xml:space="preserve"> </w:t>
      </w:r>
      <w:r w:rsidR="00B338B5">
        <w:t xml:space="preserve">reputation of the international accounting profession suffered badly from the </w:t>
      </w:r>
      <w:r w:rsidR="0035045F">
        <w:t xml:space="preserve">dramatic collapse of Enron in 2001, </w:t>
      </w:r>
      <w:r w:rsidR="00B338B5">
        <w:t>accompanied by financial and accounting scandals involving companies such as</w:t>
      </w:r>
      <w:r>
        <w:t xml:space="preserve"> </w:t>
      </w:r>
      <w:r w:rsidR="0035045F">
        <w:t xml:space="preserve">WorldCom in the </w:t>
      </w:r>
      <w:r w:rsidR="00C31DEB">
        <w:t>United States</w:t>
      </w:r>
      <w:r w:rsidR="00CB5447">
        <w:t xml:space="preserve"> of America</w:t>
      </w:r>
      <w:r w:rsidR="00C31DEB">
        <w:t xml:space="preserve"> (</w:t>
      </w:r>
      <w:r w:rsidR="0035045F">
        <w:t>US</w:t>
      </w:r>
      <w:r w:rsidR="00CB5447">
        <w:t>A</w:t>
      </w:r>
      <w:r w:rsidR="00C31DEB">
        <w:t>)</w:t>
      </w:r>
      <w:r w:rsidR="0035045F">
        <w:t xml:space="preserve">, HIH in Australia and Equitable Life Assurance Society in the </w:t>
      </w:r>
      <w:r w:rsidR="00C31DEB">
        <w:t>United Kingdom (</w:t>
      </w:r>
      <w:r w:rsidR="0035045F">
        <w:t>UK</w:t>
      </w:r>
      <w:r w:rsidR="00C31DEB">
        <w:t>)</w:t>
      </w:r>
      <w:r w:rsidR="00B338B5">
        <w:t xml:space="preserve">.  This collapse in the profession’s </w:t>
      </w:r>
      <w:r w:rsidR="00E33B39">
        <w:t>reputation</w:t>
      </w:r>
      <w:r w:rsidR="00B338B5">
        <w:t xml:space="preserve"> was exemplified by the demise of</w:t>
      </w:r>
      <w:r w:rsidR="0035045F">
        <w:t xml:space="preserve"> Arthur Andersen</w:t>
      </w:r>
      <w:r w:rsidR="00B338B5">
        <w:t xml:space="preserve">, previously one of the “Big Five” international accounting firms, in 2002. The impact of the Enron collapse on stereotypical views of accountants and accounting was studied by Carnegie and Napier </w:t>
      </w:r>
      <w:r w:rsidR="00F372EB">
        <w:t>[</w:t>
      </w:r>
      <w:r w:rsidR="00B338B5">
        <w:t>2010</w:t>
      </w:r>
      <w:r w:rsidR="00F372EB">
        <w:t>]</w:t>
      </w:r>
      <w:r w:rsidR="00B338B5">
        <w:t xml:space="preserve">, </w:t>
      </w:r>
      <w:r w:rsidR="00C14569">
        <w:t xml:space="preserve">who </w:t>
      </w:r>
      <w:r w:rsidR="00B338B5">
        <w:t>focused on the ways in which professional accountants, firms and organi</w:t>
      </w:r>
      <w:r w:rsidR="00F372EB">
        <w:t>z</w:t>
      </w:r>
      <w:r w:rsidR="00B338B5">
        <w:t xml:space="preserve">ations were portrayed in the large number of books on the collapse of Enron </w:t>
      </w:r>
      <w:r w:rsidR="009F7F19">
        <w:t xml:space="preserve">and other major corporations </w:t>
      </w:r>
      <w:r w:rsidR="00B338B5">
        <w:t>published in the period 2002-2005. Th</w:t>
      </w:r>
      <w:r w:rsidR="00E33B39">
        <w:t>at</w:t>
      </w:r>
      <w:r w:rsidR="00B338B5">
        <w:t xml:space="preserve"> study identified three themes for which the post-Enron literature provided insights: how accountants were represented as characters, whether authors considered accounting to be a profession or more like an industry, and the extent to which </w:t>
      </w:r>
      <w:r w:rsidR="00DB3371">
        <w:t>the Enron affair provided evidence that accountants were no longer honest and trustworthy.</w:t>
      </w:r>
    </w:p>
    <w:p w:rsidR="00CD666C" w:rsidRDefault="00DB3371" w:rsidP="00DB3371">
      <w:r>
        <w:t xml:space="preserve">Carnegie and Napier </w:t>
      </w:r>
      <w:r w:rsidR="00F372EB">
        <w:t>[</w:t>
      </w:r>
      <w:r>
        <w:t>2010</w:t>
      </w:r>
      <w:r w:rsidR="00954F41">
        <w:t>, p. 370</w:t>
      </w:r>
      <w:r w:rsidR="00F372EB">
        <w:t>]</w:t>
      </w:r>
      <w:r w:rsidR="00954F41">
        <w:t xml:space="preserve"> observed that some of the authors whose work they </w:t>
      </w:r>
      <w:r w:rsidR="00F372EB">
        <w:t xml:space="preserve">analyzed </w:t>
      </w:r>
      <w:r w:rsidR="00954F41">
        <w:t>had used historical material and arguments</w:t>
      </w:r>
      <w:r w:rsidR="00E33B39">
        <w:t>. T</w:t>
      </w:r>
      <w:r w:rsidR="00954F41">
        <w:t xml:space="preserve">hey identified </w:t>
      </w:r>
      <w:r w:rsidR="00E33B39">
        <w:t>authors’ use</w:t>
      </w:r>
      <w:r w:rsidR="00954F41">
        <w:t xml:space="preserve"> of a contrast between “then” and “now” (with possible overtones</w:t>
      </w:r>
      <w:r w:rsidR="00E33B39">
        <w:t xml:space="preserve"> of nostalgia for a “golden age” of professional probity</w:t>
      </w:r>
      <w:r w:rsidR="00954F41">
        <w:t xml:space="preserve">), as well as the </w:t>
      </w:r>
      <w:r w:rsidR="00E33B39">
        <w:t>employment</w:t>
      </w:r>
      <w:r w:rsidR="00954F41">
        <w:t xml:space="preserve"> of a narrative trope “old sins cast long shadows”, where authors suggested that the failure of Andersen in particular was rooted in that firm’s early embrace of consulting as an extension of its audit practice. The use of historical arguments in studies written for a general </w:t>
      </w:r>
      <w:r w:rsidR="00954F41">
        <w:lastRenderedPageBreak/>
        <w:t xml:space="preserve">readership </w:t>
      </w:r>
      <w:r w:rsidR="00CD666C">
        <w:t xml:space="preserve">is interesting in that authors appear to believe that their readership will find such arguments </w:t>
      </w:r>
      <w:r w:rsidR="00F372EB">
        <w:t xml:space="preserve">cogent </w:t>
      </w:r>
      <w:r w:rsidR="00CD666C">
        <w:t xml:space="preserve">rather than irrelevant. This suggests that there is a general concern with history on the part of the readers of popular management narratives, which may provide opportunities for historians of accounting to </w:t>
      </w:r>
      <w:r w:rsidR="00E33B39">
        <w:t xml:space="preserve">communicate </w:t>
      </w:r>
      <w:r w:rsidR="00CD666C">
        <w:t>their knowledge to broader audiences.</w:t>
      </w:r>
    </w:p>
    <w:p w:rsidR="00E1434D" w:rsidRDefault="00E33B39" w:rsidP="00DB3371">
      <w:r>
        <w:t>In t</w:t>
      </w:r>
      <w:r w:rsidR="00BC4222" w:rsidRPr="00E1434D">
        <w:t>his study</w:t>
      </w:r>
      <w:r>
        <w:t xml:space="preserve">, </w:t>
      </w:r>
      <w:r w:rsidR="00F372EB">
        <w:t>we</w:t>
      </w:r>
      <w:r w:rsidR="00933A4D">
        <w:t xml:space="preserve"> </w:t>
      </w:r>
      <w:r w:rsidR="00F372EB">
        <w:t>examine</w:t>
      </w:r>
      <w:r w:rsidR="001E1F7D">
        <w:t xml:space="preserve"> </w:t>
      </w:r>
      <w:r w:rsidR="00BC4222">
        <w:t>the use</w:t>
      </w:r>
      <w:r w:rsidR="008A4B31">
        <w:t xml:space="preserve"> </w:t>
      </w:r>
      <w:r w:rsidR="00BC4222">
        <w:t xml:space="preserve">of accounting </w:t>
      </w:r>
      <w:r w:rsidR="00CD666C">
        <w:t>history in post-Enron stories</w:t>
      </w:r>
      <w:r w:rsidR="00F372EB">
        <w:t>, and use this as the basis for considering references to accounting in popular history more generally</w:t>
      </w:r>
      <w:r w:rsidR="00CD666C">
        <w:t xml:space="preserve">. </w:t>
      </w:r>
      <w:r w:rsidR="00933A4D">
        <w:t>W</w:t>
      </w:r>
      <w:r>
        <w:t>e</w:t>
      </w:r>
      <w:r w:rsidR="002401B9">
        <w:t xml:space="preserve"> explore how commentators have drawn on the history of accounting to </w:t>
      </w:r>
      <w:r w:rsidR="003800BB">
        <w:t>portray accountants and their work</w:t>
      </w:r>
      <w:r w:rsidR="002401B9">
        <w:t xml:space="preserve"> and to contrast the personalities of “founding fathers” of the US account</w:t>
      </w:r>
      <w:r w:rsidR="00933A4D">
        <w:t>ing</w:t>
      </w:r>
      <w:r w:rsidR="002401B9">
        <w:t xml:space="preserve"> profession with their early 21</w:t>
      </w:r>
      <w:r w:rsidR="00CD666C">
        <w:t>st</w:t>
      </w:r>
      <w:r w:rsidR="002401B9">
        <w:t xml:space="preserve">-century successors.  </w:t>
      </w:r>
      <w:r>
        <w:t xml:space="preserve">We </w:t>
      </w:r>
      <w:r w:rsidR="00933A4D">
        <w:t xml:space="preserve">therefore </w:t>
      </w:r>
      <w:r>
        <w:t>extend</w:t>
      </w:r>
      <w:r w:rsidR="00C82180">
        <w:t xml:space="preserve"> the investigation by Carnegie and Napier </w:t>
      </w:r>
      <w:r w:rsidR="00F372EB">
        <w:t>[</w:t>
      </w:r>
      <w:r w:rsidR="00C82180">
        <w:t>2010</w:t>
      </w:r>
      <w:r w:rsidR="00F372EB">
        <w:t>]</w:t>
      </w:r>
      <w:r w:rsidR="00C82180">
        <w:t xml:space="preserve">, </w:t>
      </w:r>
      <w:r w:rsidR="00933A4D">
        <w:t>using the same set of</w:t>
      </w:r>
      <w:r w:rsidR="00C82180">
        <w:t xml:space="preserve"> post-Enron books that were published during the period 2002 to 2005</w:t>
      </w:r>
      <w:r>
        <w:t xml:space="preserve"> (see Carnegie and Napier </w:t>
      </w:r>
      <w:r w:rsidR="00F372EB">
        <w:t>[</w:t>
      </w:r>
      <w:r>
        <w:t>2010, p. 367</w:t>
      </w:r>
      <w:r w:rsidR="00F372EB">
        <w:t>]</w:t>
      </w:r>
      <w:r>
        <w:t xml:space="preserve"> for a list of the books examined)</w:t>
      </w:r>
      <w:r w:rsidR="00C82180">
        <w:t xml:space="preserve">.  </w:t>
      </w:r>
      <w:r>
        <w:t>We</w:t>
      </w:r>
      <w:r w:rsidR="002401B9">
        <w:t xml:space="preserve"> seek</w:t>
      </w:r>
      <w:r>
        <w:t xml:space="preserve"> an</w:t>
      </w:r>
      <w:r w:rsidR="002401B9">
        <w:t xml:space="preserve"> enhance</w:t>
      </w:r>
      <w:r>
        <w:t>d</w:t>
      </w:r>
      <w:r w:rsidR="002401B9">
        <w:t xml:space="preserve"> understanding of how accounting history is drawn upon in commenting on the </w:t>
      </w:r>
      <w:r w:rsidR="00933A4D">
        <w:t xml:space="preserve">corporate and professional </w:t>
      </w:r>
      <w:r w:rsidR="002401B9">
        <w:t xml:space="preserve">failures themselves and </w:t>
      </w:r>
      <w:r w:rsidR="00933A4D">
        <w:t xml:space="preserve">on </w:t>
      </w:r>
      <w:r w:rsidR="002401B9">
        <w:t>their implications</w:t>
      </w:r>
      <w:r w:rsidR="00933A4D">
        <w:t>, for example for the future of the accounting profession</w:t>
      </w:r>
      <w:r w:rsidR="002401B9">
        <w:t>.</w:t>
      </w:r>
      <w:r w:rsidR="00CD666C">
        <w:t xml:space="preserve"> We begin with a brief discussion of the concepts of “public history” and “popular history”</w:t>
      </w:r>
      <w:r w:rsidR="00E74689">
        <w:t xml:space="preserve">, </w:t>
      </w:r>
      <w:r w:rsidR="0004738F">
        <w:t xml:space="preserve">and then </w:t>
      </w:r>
      <w:r w:rsidR="00242E1F">
        <w:t>outline the collapse of Enron and the demise of Arthur Andersen</w:t>
      </w:r>
      <w:r>
        <w:t>. This is followed by a</w:t>
      </w:r>
      <w:r w:rsidR="00E74689">
        <w:t xml:space="preserve"> consider</w:t>
      </w:r>
      <w:r>
        <w:t>ation of</w:t>
      </w:r>
      <w:r w:rsidR="00E74689">
        <w:t xml:space="preserve"> the use of history in the post-Enron narratives, from which we draw some conclusions</w:t>
      </w:r>
      <w:r w:rsidR="00933A4D">
        <w:t xml:space="preserve"> about the need for historians of accounting to disseminate their research findings in popular as well as academic forums</w:t>
      </w:r>
      <w:r w:rsidR="00E74689">
        <w:t>.</w:t>
      </w:r>
    </w:p>
    <w:p w:rsidR="00FC2DDA" w:rsidRDefault="00FC2DDA" w:rsidP="00734B6E">
      <w:pPr>
        <w:ind w:firstLine="0"/>
      </w:pPr>
    </w:p>
    <w:p w:rsidR="00FC2DDA" w:rsidRDefault="00E74689" w:rsidP="002417ED">
      <w:pPr>
        <w:ind w:firstLine="0"/>
        <w:rPr>
          <w:b/>
        </w:rPr>
      </w:pPr>
      <w:r>
        <w:rPr>
          <w:b/>
        </w:rPr>
        <w:t xml:space="preserve">Public and </w:t>
      </w:r>
      <w:r w:rsidR="00FC2DDA" w:rsidRPr="00FC2DDA">
        <w:rPr>
          <w:b/>
        </w:rPr>
        <w:t>Popular History</w:t>
      </w:r>
    </w:p>
    <w:p w:rsidR="004A0787" w:rsidRDefault="00F372EB" w:rsidP="00DF7C8D">
      <w:r>
        <w:t>Professional h</w:t>
      </w:r>
      <w:r w:rsidR="009C06F0">
        <w:t xml:space="preserve">istorians </w:t>
      </w:r>
      <w:r>
        <w:t xml:space="preserve">are </w:t>
      </w:r>
      <w:r w:rsidR="009C06F0">
        <w:t xml:space="preserve">increasingly </w:t>
      </w:r>
      <w:r>
        <w:t>reflecting on the relevance of</w:t>
      </w:r>
      <w:r w:rsidR="009C06F0">
        <w:t xml:space="preserve"> their studies to the concerns of the public at large</w:t>
      </w:r>
      <w:r w:rsidR="00740E0A">
        <w:t xml:space="preserve"> [Champion, 2007]</w:t>
      </w:r>
      <w:r w:rsidR="009C06F0">
        <w:t xml:space="preserve">. </w:t>
      </w:r>
      <w:r w:rsidR="00933A4D">
        <w:t>T</w:t>
      </w:r>
      <w:r w:rsidR="004A0787">
        <w:t xml:space="preserve">his </w:t>
      </w:r>
      <w:r w:rsidR="00933A4D">
        <w:t xml:space="preserve">comes as a reaction </w:t>
      </w:r>
      <w:r w:rsidR="004A0787">
        <w:t xml:space="preserve">to </w:t>
      </w:r>
      <w:r w:rsidR="004A0787">
        <w:lastRenderedPageBreak/>
        <w:t xml:space="preserve">public interest in history, whether expressed as a demand for historical fiction, of which recent noteworthy examples are the award-winning novels </w:t>
      </w:r>
      <w:r w:rsidR="004A0787">
        <w:rPr>
          <w:i/>
        </w:rPr>
        <w:t>Wolf Hall</w:t>
      </w:r>
      <w:r w:rsidR="004A0787">
        <w:t xml:space="preserve"> and </w:t>
      </w:r>
      <w:r w:rsidR="004A0787">
        <w:rPr>
          <w:i/>
        </w:rPr>
        <w:t xml:space="preserve">Bring Up The Bodies </w:t>
      </w:r>
      <w:r w:rsidR="004A0787">
        <w:t xml:space="preserve">by Hilary Mantel </w:t>
      </w:r>
      <w:r>
        <w:t>[</w:t>
      </w:r>
      <w:r w:rsidR="004A0787">
        <w:t>2009, 2012</w:t>
      </w:r>
      <w:r>
        <w:t>]</w:t>
      </w:r>
      <w:r w:rsidR="004A0787">
        <w:t xml:space="preserve"> about the Tudor politician Thomas Cromwell, or as </w:t>
      </w:r>
      <w:r w:rsidR="00933A4D">
        <w:t>an interest in</w:t>
      </w:r>
      <w:r w:rsidR="004A0787">
        <w:t xml:space="preserve"> what is taught as history in schools </w:t>
      </w:r>
      <w:r>
        <w:t>[</w:t>
      </w:r>
      <w:r w:rsidR="004A0787">
        <w:t>Cannadine</w:t>
      </w:r>
      <w:r w:rsidR="007A2667">
        <w:t xml:space="preserve"> et al.</w:t>
      </w:r>
      <w:r w:rsidR="004A0787">
        <w:t>, 2011</w:t>
      </w:r>
      <w:r w:rsidR="007A2667">
        <w:t>]</w:t>
      </w:r>
      <w:r w:rsidR="004A0787">
        <w:t xml:space="preserve">. </w:t>
      </w:r>
      <w:r w:rsidR="007B09DB">
        <w:t xml:space="preserve">Sir Richard Evans, the Regius Professor of History at Cambridge University, has observed the growing demand for novels, films, television series, and “blockbuster history books”, noting that “historians today are communicating with far larger audiences when they broadcast on radio or television” </w:t>
      </w:r>
      <w:r w:rsidR="007A2667">
        <w:t>[</w:t>
      </w:r>
      <w:r w:rsidR="007B09DB">
        <w:t>Evans, 2002, p. 14</w:t>
      </w:r>
      <w:r w:rsidR="007A2667">
        <w:t>]</w:t>
      </w:r>
      <w:r w:rsidR="007B09DB">
        <w:t xml:space="preserve">. </w:t>
      </w:r>
      <w:r w:rsidR="004A0787">
        <w:t xml:space="preserve">In 1979, the National Council for Public History (NCPH) was established in the </w:t>
      </w:r>
      <w:r w:rsidR="00252390">
        <w:t>US</w:t>
      </w:r>
      <w:r w:rsidR="00CB5447">
        <w:t>A</w:t>
      </w:r>
      <w:r w:rsidR="004A0787">
        <w:t xml:space="preserve"> to provide a focus for historians wishing to emphas</w:t>
      </w:r>
      <w:r w:rsidR="00DF7C8D">
        <w:t>ize</w:t>
      </w:r>
      <w:r w:rsidR="004A0787">
        <w:t xml:space="preserve"> the public profile of history </w:t>
      </w:r>
      <w:r w:rsidR="007A2667">
        <w:t>[</w:t>
      </w:r>
      <w:r w:rsidR="004A0787">
        <w:t>Howe, 1989</w:t>
      </w:r>
      <w:r w:rsidR="007A2667">
        <w:t>]</w:t>
      </w:r>
      <w:r w:rsidR="004A0787">
        <w:t>.</w:t>
      </w:r>
      <w:r w:rsidR="00C10D58">
        <w:t xml:space="preserve"> “Public history”, as promulgated through channels such as the NCPH’s journal, </w:t>
      </w:r>
      <w:r w:rsidR="00C10D58">
        <w:rPr>
          <w:i/>
        </w:rPr>
        <w:t>The Public Historian</w:t>
      </w:r>
      <w:r w:rsidR="00C10D58">
        <w:t xml:space="preserve">, is seen as taking history outside the classroom and the academy and promoting the relevance of history within the public sphere. As Tosh </w:t>
      </w:r>
      <w:r w:rsidR="007A2667">
        <w:t>[</w:t>
      </w:r>
      <w:r w:rsidR="00C10D58">
        <w:t>2008, p. 100</w:t>
      </w:r>
      <w:r w:rsidR="007A2667">
        <w:t>]</w:t>
      </w:r>
      <w:r w:rsidR="00C10D58">
        <w:t xml:space="preserve"> notes, “public history” ranges from “historical work carried out in conjunction with museums and other heritage bodies” to “everything that professional historians do to bring their work to public attention – through journalism, TV programmes or policy advice.”</w:t>
      </w:r>
    </w:p>
    <w:p w:rsidR="00A04F8C" w:rsidRDefault="00A04F8C" w:rsidP="00A04F8C">
      <w:r>
        <w:t xml:space="preserve">Tosh </w:t>
      </w:r>
      <w:r w:rsidR="007A2667">
        <w:t>[</w:t>
      </w:r>
      <w:r>
        <w:t>20</w:t>
      </w:r>
      <w:r w:rsidR="00CB21C6">
        <w:t>08</w:t>
      </w:r>
      <w:r>
        <w:t>, p. 100</w:t>
      </w:r>
      <w:r w:rsidR="007A2667">
        <w:t>]</w:t>
      </w:r>
      <w:r>
        <w:t xml:space="preserve"> draws a distinction between “professional and lay history”, and he identifies the move towards public history as mainly driven by professional historians. Howe </w:t>
      </w:r>
      <w:r w:rsidR="007A2667">
        <w:t>[</w:t>
      </w:r>
      <w:r>
        <w:t>1989</w:t>
      </w:r>
      <w:r w:rsidR="007A2667">
        <w:t>]</w:t>
      </w:r>
      <w:r>
        <w:t xml:space="preserve"> supports this, commenting that the public history movement in the US</w:t>
      </w:r>
      <w:r w:rsidR="00CB5447">
        <w:t>A</w:t>
      </w:r>
      <w:r>
        <w:t xml:space="preserve"> reflected an expansion in the number of professional historians at a time when university recruitment in history departments was growing much more slowly. By advocating “public history”, career paths could be created for historians outside schools and universities. The reference to “lay historians” acknowledges </w:t>
      </w:r>
      <w:r w:rsidR="00DF7C8D">
        <w:t xml:space="preserve">that </w:t>
      </w:r>
      <w:r w:rsidR="007A2667">
        <w:t>history</w:t>
      </w:r>
      <w:r>
        <w:t xml:space="preserve"> </w:t>
      </w:r>
      <w:r w:rsidR="00CB21C6">
        <w:t>may</w:t>
      </w:r>
      <w:r>
        <w:t xml:space="preserve"> be written by those who do so as a hobby or avocation, and by those without an </w:t>
      </w:r>
      <w:r>
        <w:lastRenderedPageBreak/>
        <w:t xml:space="preserve">academic training as a historian, as well as </w:t>
      </w:r>
      <w:r w:rsidR="00DF7C8D">
        <w:t xml:space="preserve">by </w:t>
      </w:r>
      <w:r>
        <w:t>those who make their living from teaching and researching history. Many of the early historians of accounting</w:t>
      </w:r>
      <w:r w:rsidR="00CB21C6">
        <w:t xml:space="preserve">, such as the bibliophile Karl Kheil </w:t>
      </w:r>
      <w:r w:rsidR="007A2667">
        <w:t>[</w:t>
      </w:r>
      <w:r w:rsidR="00CB21C6">
        <w:t>Napier, 2009, p. 33</w:t>
      </w:r>
      <w:r w:rsidR="007A2667">
        <w:t>]</w:t>
      </w:r>
      <w:r>
        <w:t xml:space="preserve"> </w:t>
      </w:r>
      <w:r w:rsidR="00CB21C6">
        <w:t>were</w:t>
      </w:r>
      <w:r>
        <w:t xml:space="preserve"> “lay historians”.</w:t>
      </w:r>
    </w:p>
    <w:p w:rsidR="00CF04C7" w:rsidRDefault="00A04F8C" w:rsidP="007B09DB">
      <w:r>
        <w:t>Public history overlaps with, but is not synonymous with</w:t>
      </w:r>
      <w:r w:rsidR="00CB21C6">
        <w:t>,</w:t>
      </w:r>
      <w:r>
        <w:t xml:space="preserve"> “popular history”. Although th</w:t>
      </w:r>
      <w:r w:rsidR="007A2667">
        <w:t>e latter</w:t>
      </w:r>
      <w:r>
        <w:t xml:space="preserve"> term originally referred to the history of “ordinary people”, in contrast with “elite history</w:t>
      </w:r>
      <w:r w:rsidR="00E33B39">
        <w:t>”</w:t>
      </w:r>
      <w:r>
        <w:t xml:space="preserve"> (the history of rulers and aristocrats</w:t>
      </w:r>
      <w:r w:rsidR="007A2667">
        <w:t xml:space="preserve"> – see Cannadine [2008</w:t>
      </w:r>
      <w:r w:rsidR="00A17E2D">
        <w:t xml:space="preserve">: </w:t>
      </w:r>
      <w:r w:rsidR="007A2667">
        <w:t xml:space="preserve"> 30-31]</w:t>
      </w:r>
      <w:r>
        <w:t xml:space="preserve">), popular history </w:t>
      </w:r>
      <w:r w:rsidR="007B09DB">
        <w:t xml:space="preserve">now tends to imply history </w:t>
      </w:r>
      <w:r w:rsidR="001E1F7D">
        <w:t xml:space="preserve">aimed at a wide </w:t>
      </w:r>
      <w:r w:rsidR="00E25229">
        <w:t xml:space="preserve">or general </w:t>
      </w:r>
      <w:r w:rsidR="001E1F7D">
        <w:t>readership</w:t>
      </w:r>
      <w:r w:rsidR="007B09DB">
        <w:t xml:space="preserve"> or (as popular history frequently takes the form of television series) audience</w:t>
      </w:r>
      <w:r w:rsidR="001E1F7D">
        <w:t xml:space="preserve">.  It tends </w:t>
      </w:r>
      <w:r w:rsidR="00E25229">
        <w:t>to emphasi</w:t>
      </w:r>
      <w:r w:rsidR="007A2667">
        <w:t>z</w:t>
      </w:r>
      <w:r w:rsidR="00E33B39">
        <w:t>e</w:t>
      </w:r>
      <w:r w:rsidR="00E25229">
        <w:t xml:space="preserve"> </w:t>
      </w:r>
      <w:r w:rsidR="007B09DB">
        <w:t>broad narrative s</w:t>
      </w:r>
      <w:r w:rsidR="00E33B39">
        <w:t>weeps</w:t>
      </w:r>
      <w:r w:rsidR="007B09DB">
        <w:t xml:space="preserve"> </w:t>
      </w:r>
      <w:r w:rsidR="00E33B39">
        <w:t xml:space="preserve">while at the same time using </w:t>
      </w:r>
      <w:r w:rsidR="007B09DB">
        <w:t xml:space="preserve">“telling” </w:t>
      </w:r>
      <w:r w:rsidR="001E1F7D">
        <w:t>detail</w:t>
      </w:r>
      <w:r w:rsidR="00E33B39">
        <w:t xml:space="preserve"> to illustrate particular points. For example, a popular history of a wartime battle may </w:t>
      </w:r>
      <w:r w:rsidR="00CF04C7">
        <w:t>interleave discussions of grand strategy with extracts from interviews with</w:t>
      </w:r>
      <w:r w:rsidR="007A2667">
        <w:t>,</w:t>
      </w:r>
      <w:r w:rsidR="00CF04C7">
        <w:t xml:space="preserve"> or memoirs of</w:t>
      </w:r>
      <w:r w:rsidR="007A2667">
        <w:t>,</w:t>
      </w:r>
      <w:r w:rsidR="00CF04C7">
        <w:t xml:space="preserve"> soldiers involved in the actual fighting. </w:t>
      </w:r>
      <w:r w:rsidR="00740E0A">
        <w:t>Popular historians value readability [Curthoys and McGrath, 2011]: their</w:t>
      </w:r>
      <w:r w:rsidR="00CF04C7">
        <w:t xml:space="preserve"> books often have a similar physical appearance (with the possible exception of illustrations and maps) to novels, with an absence of the scholarly “apparatus” of footnotes and references that would reveal the author’s sources</w:t>
      </w:r>
      <w:r w:rsidR="007B09DB">
        <w:t>.</w:t>
      </w:r>
      <w:r w:rsidR="00CF04C7">
        <w:t xml:space="preserve"> This has led some historiographers </w:t>
      </w:r>
      <w:r w:rsidR="00DF7C8D">
        <w:t>(</w:t>
      </w:r>
      <w:r w:rsidR="00CF04C7">
        <w:t xml:space="preserve">for example, Curthoys and Docker </w:t>
      </w:r>
      <w:r w:rsidR="00DF7C8D">
        <w:t>[</w:t>
      </w:r>
      <w:r w:rsidR="00CF04C7">
        <w:t>2006</w:t>
      </w:r>
      <w:r w:rsidR="00DF7C8D">
        <w:t>]</w:t>
      </w:r>
      <w:r w:rsidR="00CF04C7">
        <w:t xml:space="preserve">; Southgate </w:t>
      </w:r>
      <w:r w:rsidR="00DF7C8D">
        <w:t>[</w:t>
      </w:r>
      <w:r w:rsidR="00CF04C7">
        <w:t>2009</w:t>
      </w:r>
      <w:r w:rsidR="00740E0A">
        <w:t>]</w:t>
      </w:r>
      <w:r w:rsidR="00DF7C8D">
        <w:t>)</w:t>
      </w:r>
      <w:r w:rsidR="00CF04C7">
        <w:t xml:space="preserve"> to debate at length how, if at all, history and fiction are distinct.</w:t>
      </w:r>
    </w:p>
    <w:p w:rsidR="00972056" w:rsidRDefault="007B09DB" w:rsidP="007B09DB">
      <w:r>
        <w:t xml:space="preserve"> This is not to claim that popular history is unscholarly: to the contrary, many of those associated with widely watched TV programmes or </w:t>
      </w:r>
      <w:r w:rsidR="00055801">
        <w:t>best-selling books are academics highly respected by their peers for their scholarship</w:t>
      </w:r>
      <w:r w:rsidR="009B69B1">
        <w:t xml:space="preserve"> </w:t>
      </w:r>
      <w:r w:rsidR="009F7F19">
        <w:t>(</w:t>
      </w:r>
      <w:r w:rsidR="009B69B1">
        <w:t xml:space="preserve">Bell and Gray </w:t>
      </w:r>
      <w:r w:rsidR="009F7F19">
        <w:t>[</w:t>
      </w:r>
      <w:r w:rsidR="009B69B1">
        <w:t>2007</w:t>
      </w:r>
      <w:r w:rsidR="009F7F19">
        <w:t>]</w:t>
      </w:r>
      <w:r w:rsidR="00740E0A">
        <w:t xml:space="preserve">; Beck </w:t>
      </w:r>
      <w:r w:rsidR="009F7F19">
        <w:t>[</w:t>
      </w:r>
      <w:r w:rsidR="00740E0A">
        <w:t>2011]</w:t>
      </w:r>
      <w:r w:rsidR="009F7F19">
        <w:t>)</w:t>
      </w:r>
      <w:r w:rsidR="00055801">
        <w:t xml:space="preserve">. However, popular history can be distinguished almost at sight from </w:t>
      </w:r>
      <w:r w:rsidR="001E1F7D">
        <w:t>academic history</w:t>
      </w:r>
      <w:r w:rsidR="00055801">
        <w:t xml:space="preserve">, as its </w:t>
      </w:r>
      <w:r w:rsidR="00055801" w:rsidRPr="00055801">
        <w:rPr>
          <w:i/>
        </w:rPr>
        <w:t>raison d’</w:t>
      </w:r>
      <w:r w:rsidR="00055801">
        <w:rPr>
          <w:i/>
        </w:rPr>
        <w:t>ê</w:t>
      </w:r>
      <w:r w:rsidR="00055801" w:rsidRPr="00055801">
        <w:rPr>
          <w:i/>
        </w:rPr>
        <w:t>tre</w:t>
      </w:r>
      <w:r w:rsidR="00055801">
        <w:t xml:space="preserve"> lies in its</w:t>
      </w:r>
      <w:r w:rsidR="001E1F7D">
        <w:t xml:space="preserve"> appeal to the </w:t>
      </w:r>
      <w:r w:rsidR="00055801">
        <w:t xml:space="preserve">interests and appreciation of the </w:t>
      </w:r>
      <w:r w:rsidR="001E1F7D">
        <w:t xml:space="preserve">general </w:t>
      </w:r>
      <w:r w:rsidR="00055801">
        <w:t>“consumer” rather than those of professional historians</w:t>
      </w:r>
      <w:r w:rsidR="001E1F7D">
        <w:t xml:space="preserve">.  </w:t>
      </w:r>
      <w:r w:rsidR="00972056">
        <w:t xml:space="preserve">As Champion </w:t>
      </w:r>
      <w:r w:rsidR="00740E0A">
        <w:t>[</w:t>
      </w:r>
      <w:r w:rsidR="00972056">
        <w:t>2003, p. 155</w:t>
      </w:r>
      <w:r w:rsidR="00740E0A">
        <w:t>]</w:t>
      </w:r>
      <w:r w:rsidR="00972056">
        <w:t xml:space="preserve"> puts it: “Both historians and documentary film-makers aim at achieving </w:t>
      </w:r>
      <w:r w:rsidR="00972056">
        <w:lastRenderedPageBreak/>
        <w:t xml:space="preserve">an engagement with the truth of the past: they simply have different methods and instruments for getting there.” Champion was writing about the series </w:t>
      </w:r>
      <w:r w:rsidR="00972056">
        <w:rPr>
          <w:i/>
        </w:rPr>
        <w:t>A History of Britain</w:t>
      </w:r>
      <w:r w:rsidR="00972056">
        <w:t xml:space="preserve">, broadcast originally by the BBC between 2000 and 2002 and written and presented by the eminent art and cultural historian Simon Schama. Champion </w:t>
      </w:r>
      <w:r w:rsidR="00740E0A">
        <w:t>[</w:t>
      </w:r>
      <w:r w:rsidR="00972056">
        <w:t>2003, p. 172</w:t>
      </w:r>
      <w:r w:rsidR="00740E0A">
        <w:t>]</w:t>
      </w:r>
      <w:r w:rsidR="00972056">
        <w:t xml:space="preserve"> sums up this popular history series by describing it as:</w:t>
      </w:r>
    </w:p>
    <w:p w:rsidR="00972056" w:rsidRDefault="00972056" w:rsidP="00972056">
      <w:pPr>
        <w:pStyle w:val="Indent"/>
      </w:pPr>
      <w:r>
        <w:t>[A] powerful document representing the “truth” of past events in a particular form, from a particular point of view. However much we might dispute specific elements, or even the overall narrative plot, nevertheless to engage with the drama, the details and the power of the story, provides the imaginative audience with ample food for historical thought. The best history can do no more.</w:t>
      </w:r>
    </w:p>
    <w:p w:rsidR="00321EF7" w:rsidRDefault="00055801" w:rsidP="00240F27">
      <w:r>
        <w:t xml:space="preserve">Some </w:t>
      </w:r>
      <w:r w:rsidR="001E1F7D">
        <w:t xml:space="preserve">popular historians are without academic affiliation, while others are academics </w:t>
      </w:r>
      <w:r w:rsidR="00321EF7">
        <w:t xml:space="preserve">or former academics </w:t>
      </w:r>
      <w:r w:rsidR="001E1F7D">
        <w:t>who write for a general audience.</w:t>
      </w:r>
      <w:r w:rsidR="00972056">
        <w:t xml:space="preserve"> For example, the </w:t>
      </w:r>
      <w:r w:rsidR="006C5F2A">
        <w:t>prominent British media personality David Starkey,</w:t>
      </w:r>
      <w:r w:rsidR="00DF7C8D">
        <w:rPr>
          <w:rStyle w:val="FootnoteReference"/>
        </w:rPr>
        <w:footnoteReference w:id="2"/>
      </w:r>
      <w:r w:rsidR="006C5F2A">
        <w:t xml:space="preserve"> who has written and presented several television history series, usually on the Tudor period, was a highly respected academic historian based at the London School of Economics for some 30 years before leaving to concentrate on a lucrative media career.</w:t>
      </w:r>
      <w:r w:rsidR="001E1F7D">
        <w:t xml:space="preserve"> </w:t>
      </w:r>
      <w:r w:rsidR="00321EF7">
        <w:t xml:space="preserve">It is not uncommon for popular historians to </w:t>
      </w:r>
      <w:r w:rsidR="00240F27">
        <w:t xml:space="preserve">have experience as current or former </w:t>
      </w:r>
      <w:r w:rsidR="00321EF7">
        <w:t>journalists</w:t>
      </w:r>
      <w:r w:rsidR="00DF7C8D">
        <w:t xml:space="preserve"> [Lowe, 2012]</w:t>
      </w:r>
      <w:r>
        <w:t>.</w:t>
      </w:r>
    </w:p>
    <w:p w:rsidR="00461294" w:rsidRDefault="00DE195A" w:rsidP="00055801">
      <w:r>
        <w:t>Popular</w:t>
      </w:r>
      <w:r w:rsidR="00321EF7">
        <w:t xml:space="preserve"> historians </w:t>
      </w:r>
      <w:r>
        <w:t>often</w:t>
      </w:r>
      <w:r w:rsidR="00321EF7">
        <w:t xml:space="preserve"> use historical accounts</w:t>
      </w:r>
      <w:r w:rsidR="00055801">
        <w:t xml:space="preserve"> that already exist</w:t>
      </w:r>
      <w:r w:rsidR="00321EF7">
        <w:t xml:space="preserve">, such as </w:t>
      </w:r>
      <w:r w:rsidR="008A4B31">
        <w:t>official histories</w:t>
      </w:r>
      <w:r w:rsidR="00321EF7">
        <w:t xml:space="preserve"> or general histories</w:t>
      </w:r>
      <w:r w:rsidR="00055801">
        <w:t>. Those popular historians who come from an academic background will also distil their histories from journal articles and even from primary sou</w:t>
      </w:r>
      <w:r w:rsidR="006C5F2A">
        <w:t>r</w:t>
      </w:r>
      <w:r w:rsidR="00055801">
        <w:t xml:space="preserve">ces. On the other hand, “lay” popular historians </w:t>
      </w:r>
      <w:r w:rsidR="00321EF7">
        <w:t xml:space="preserve">are </w:t>
      </w:r>
      <w:r w:rsidR="00240F27">
        <w:t>disliked</w:t>
      </w:r>
      <w:r w:rsidR="00321EF7">
        <w:t xml:space="preserve"> or even despised by</w:t>
      </w:r>
      <w:r>
        <w:t xml:space="preserve"> some</w:t>
      </w:r>
      <w:r w:rsidR="00321EF7">
        <w:t xml:space="preserve"> academic historians</w:t>
      </w:r>
      <w:r>
        <w:t>,</w:t>
      </w:r>
      <w:r w:rsidR="00055801">
        <w:t xml:space="preserve"> </w:t>
      </w:r>
      <w:r>
        <w:t xml:space="preserve">who regard them </w:t>
      </w:r>
      <w:r w:rsidR="00055801">
        <w:t>as “hacks” rather than original scholars</w:t>
      </w:r>
      <w:r w:rsidR="00321EF7">
        <w:t>.</w:t>
      </w:r>
      <w:r w:rsidR="006C5F2A">
        <w:t xml:space="preserve"> For example, the American documentary film producer Ken Burns, most famous for the Public Broadcasting System’s series </w:t>
      </w:r>
      <w:r w:rsidR="006C5F2A">
        <w:rPr>
          <w:i/>
        </w:rPr>
        <w:t>The Civil War</w:t>
      </w:r>
      <w:r w:rsidR="006C5F2A">
        <w:t xml:space="preserve">, first broadcast in 1990, </w:t>
      </w:r>
      <w:r w:rsidR="00461294">
        <w:t>has described himself as “a popular amateur historian” (quoted in Southgate</w:t>
      </w:r>
      <w:r>
        <w:t xml:space="preserve"> [</w:t>
      </w:r>
      <w:r w:rsidR="00461294">
        <w:t xml:space="preserve">2005, p. </w:t>
      </w:r>
      <w:r w:rsidR="00461294">
        <w:lastRenderedPageBreak/>
        <w:t>138</w:t>
      </w:r>
      <w:r>
        <w:t>]</w:t>
      </w:r>
      <w:r w:rsidR="00461294">
        <w:t>)</w:t>
      </w:r>
      <w:r w:rsidR="00895ADA">
        <w:t>.</w:t>
      </w:r>
      <w:r w:rsidR="00461294">
        <w:t xml:space="preserve"> </w:t>
      </w:r>
      <w:r w:rsidR="00895ADA">
        <w:t xml:space="preserve">Burns </w:t>
      </w:r>
      <w:r w:rsidR="00461294">
        <w:t>has been accused of “reduc[ing] history to ‘a mind-softening, saccharine-like substitute’, appealing to the emotions and pandering to the lowest common denominator of people’s taste for nostalgia” (quoted in Southgate</w:t>
      </w:r>
      <w:r>
        <w:t xml:space="preserve"> [</w:t>
      </w:r>
      <w:r w:rsidR="00461294">
        <w:t>2005, p. 139</w:t>
      </w:r>
      <w:r>
        <w:t>]</w:t>
      </w:r>
      <w:r w:rsidR="00461294">
        <w:t>).</w:t>
      </w:r>
      <w:r w:rsidR="00321EF7">
        <w:t xml:space="preserve"> </w:t>
      </w:r>
      <w:r w:rsidR="00ED0661">
        <w:t xml:space="preserve">Such </w:t>
      </w:r>
      <w:r w:rsidR="008E71F9">
        <w:t>discussions and debates</w:t>
      </w:r>
      <w:r w:rsidR="00E25229">
        <w:t xml:space="preserve"> </w:t>
      </w:r>
      <w:r w:rsidR="00853234">
        <w:t>have arisen in the historical accounting literature</w:t>
      </w:r>
      <w:r w:rsidR="00E25229">
        <w:t xml:space="preserve">. </w:t>
      </w:r>
      <w:r w:rsidR="00853234">
        <w:t xml:space="preserve">For instance, </w:t>
      </w:r>
      <w:r w:rsidR="00ED0661">
        <w:t xml:space="preserve">Carnegie </w:t>
      </w:r>
      <w:r>
        <w:t>[</w:t>
      </w:r>
      <w:r w:rsidR="00ED0661">
        <w:t>2006</w:t>
      </w:r>
      <w:r>
        <w:t>]</w:t>
      </w:r>
      <w:r w:rsidR="00ED0661">
        <w:t xml:space="preserve"> suggested that accounting historians may </w:t>
      </w:r>
      <w:r w:rsidR="00E25229">
        <w:t>widen</w:t>
      </w:r>
      <w:r w:rsidR="00ED0661">
        <w:t xml:space="preserve"> the relevance of their work by writing, on occasions, for a general readership, </w:t>
      </w:r>
      <w:r w:rsidR="008E71F9">
        <w:t>such as on the perennial topic of</w:t>
      </w:r>
      <w:r w:rsidR="00ED0661">
        <w:t xml:space="preserve"> corporate</w:t>
      </w:r>
      <w:r w:rsidR="00E25229">
        <w:t xml:space="preserve"> collapse and</w:t>
      </w:r>
      <w:r w:rsidR="00ED0661">
        <w:t xml:space="preserve"> accounting failure.</w:t>
      </w:r>
      <w:r w:rsidR="00240F27">
        <w:t xml:space="preserve"> </w:t>
      </w:r>
      <w:r w:rsidR="00ED0661">
        <w:t xml:space="preserve">In response, Radcliffe </w:t>
      </w:r>
      <w:r>
        <w:t>[</w:t>
      </w:r>
      <w:r w:rsidR="00ED0661">
        <w:t>2006</w:t>
      </w:r>
      <w:r>
        <w:t>]</w:t>
      </w:r>
      <w:r w:rsidR="00ED0661">
        <w:t xml:space="preserve"> argued that Carnegie </w:t>
      </w:r>
      <w:r>
        <w:t>[</w:t>
      </w:r>
      <w:r w:rsidR="00ED0661">
        <w:t>2006</w:t>
      </w:r>
      <w:r>
        <w:t>]</w:t>
      </w:r>
      <w:r w:rsidR="00ED0661">
        <w:t xml:space="preserve"> was </w:t>
      </w:r>
      <w:r>
        <w:t xml:space="preserve">in </w:t>
      </w:r>
      <w:r w:rsidR="00E25229">
        <w:t xml:space="preserve">effect </w:t>
      </w:r>
      <w:r w:rsidR="00ED0661">
        <w:t xml:space="preserve">proposing entry to a forbidden </w:t>
      </w:r>
      <w:r w:rsidR="00853234">
        <w:t>arena</w:t>
      </w:r>
      <w:r w:rsidR="00240F27">
        <w:t>.</w:t>
      </w:r>
      <w:r w:rsidR="00461294">
        <w:t xml:space="preserve"> Radcliffe</w:t>
      </w:r>
      <w:r w:rsidR="00ED0661">
        <w:t xml:space="preserve"> </w:t>
      </w:r>
      <w:r w:rsidR="009B3E8E">
        <w:t>seem</w:t>
      </w:r>
      <w:r w:rsidR="009A73CE">
        <w:t>ed</w:t>
      </w:r>
      <w:r w:rsidR="009B3E8E">
        <w:t xml:space="preserve"> to perceive</w:t>
      </w:r>
      <w:r w:rsidR="00ED0661">
        <w:t xml:space="preserve"> no role for accounting historians in </w:t>
      </w:r>
      <w:r w:rsidR="009B3E8E">
        <w:t>providing a historical appreciation to</w:t>
      </w:r>
      <w:r w:rsidR="00ED0661">
        <w:t xml:space="preserve"> </w:t>
      </w:r>
      <w:r w:rsidR="008E71F9">
        <w:t xml:space="preserve">the general public, including </w:t>
      </w:r>
      <w:r w:rsidR="009B3E8E">
        <w:t xml:space="preserve">modern-day </w:t>
      </w:r>
      <w:r w:rsidR="00ED0661">
        <w:t>investors, creditors and other financial statement users</w:t>
      </w:r>
      <w:r w:rsidR="00E25229">
        <w:t xml:space="preserve">, </w:t>
      </w:r>
      <w:r w:rsidR="009B3E8E">
        <w:t>by</w:t>
      </w:r>
      <w:r w:rsidR="00ED0661">
        <w:t xml:space="preserve"> placing a spotlight on </w:t>
      </w:r>
      <w:r w:rsidR="009B3E8E">
        <w:t xml:space="preserve">the interplay of </w:t>
      </w:r>
      <w:r w:rsidR="00853234">
        <w:t xml:space="preserve">corporate and </w:t>
      </w:r>
      <w:r w:rsidR="009B3E8E">
        <w:t xml:space="preserve">accounting failure </w:t>
      </w:r>
      <w:r w:rsidR="009A73CE">
        <w:t>across time</w:t>
      </w:r>
      <w:r w:rsidR="009B3E8E">
        <w:t>.</w:t>
      </w:r>
      <w:r w:rsidR="00E25229">
        <w:t xml:space="preserve"> </w:t>
      </w:r>
      <w:r w:rsidR="00841422">
        <w:t xml:space="preserve">Accounting historians, however, </w:t>
      </w:r>
      <w:r w:rsidR="00055801">
        <w:t xml:space="preserve">despite the recent call for a greater awareness of the public and popular roles of history made by Gomes </w:t>
      </w:r>
      <w:r w:rsidR="00055801" w:rsidRPr="00DF7C8D">
        <w:t>et al.</w:t>
      </w:r>
      <w:r w:rsidR="00055801">
        <w:t xml:space="preserve"> </w:t>
      </w:r>
      <w:r w:rsidR="00510285">
        <w:t>[</w:t>
      </w:r>
      <w:r w:rsidR="00055801">
        <w:t>2011</w:t>
      </w:r>
      <w:r w:rsidR="00510285">
        <w:t>]</w:t>
      </w:r>
      <w:r w:rsidR="00055801">
        <w:t>, d</w:t>
      </w:r>
      <w:r w:rsidR="00841422">
        <w:t xml:space="preserve">o not typically </w:t>
      </w:r>
      <w:r w:rsidR="009A73CE">
        <w:t>prepare and publish</w:t>
      </w:r>
      <w:r w:rsidR="00841422">
        <w:t xml:space="preserve"> popular works on accounting’s past. </w:t>
      </w:r>
      <w:r w:rsidR="00055801">
        <w:t>This leaves a gap that can be exploited by “lay” historians, and a</w:t>
      </w:r>
      <w:r w:rsidR="00E25229">
        <w:t xml:space="preserve"> recent </w:t>
      </w:r>
      <w:r w:rsidR="00055801">
        <w:t>example of a prominent</w:t>
      </w:r>
      <w:r w:rsidR="00E25229">
        <w:t xml:space="preserve"> popular history in accounting </w:t>
      </w:r>
      <w:r w:rsidR="00055801">
        <w:t xml:space="preserve">is the book </w:t>
      </w:r>
      <w:r w:rsidR="00E25229" w:rsidRPr="00055801">
        <w:rPr>
          <w:i/>
        </w:rPr>
        <w:t>Double Entry: How the Merchants of Venice Shaped the Modern World – and How their Invention could Make o</w:t>
      </w:r>
      <w:r w:rsidR="00240F27">
        <w:rPr>
          <w:i/>
        </w:rPr>
        <w:t>r</w:t>
      </w:r>
      <w:r w:rsidR="00E25229" w:rsidRPr="00055801">
        <w:rPr>
          <w:i/>
        </w:rPr>
        <w:t xml:space="preserve"> B</w:t>
      </w:r>
      <w:r w:rsidR="00853234" w:rsidRPr="00055801">
        <w:rPr>
          <w:i/>
        </w:rPr>
        <w:t>reak the Planet</w:t>
      </w:r>
      <w:r w:rsidR="00853234">
        <w:t xml:space="preserve"> by </w:t>
      </w:r>
      <w:r w:rsidR="00055801">
        <w:t xml:space="preserve">the art historian Jane </w:t>
      </w:r>
      <w:r w:rsidR="00853234">
        <w:t>Gleeson-Whit</w:t>
      </w:r>
      <w:r w:rsidR="00E25229">
        <w:t xml:space="preserve">e </w:t>
      </w:r>
      <w:r w:rsidR="00510285">
        <w:t>[</w:t>
      </w:r>
      <w:r w:rsidR="00E25229">
        <w:t>2011</w:t>
      </w:r>
      <w:r w:rsidR="00510285">
        <w:t>]</w:t>
      </w:r>
      <w:r w:rsidR="005A664F">
        <w:t>.</w:t>
      </w:r>
    </w:p>
    <w:p w:rsidR="001E1F7D" w:rsidRPr="004224D6" w:rsidRDefault="00461294" w:rsidP="00055801">
      <w:r>
        <w:t xml:space="preserve">Gleeson-White’s book stresses the importance of double-entry bookkeeping in providing the commercial technology upon which trade, industry and capitalism itself developed. She writes at length about Luca Pacioli and his first printed treatise on double-entry, discusses </w:t>
      </w:r>
      <w:r w:rsidR="00DE3D8F">
        <w:t xml:space="preserve">the “Sombart Thesis” about the relationship between double-entry and the rise of capitalism, looks at how double-entry underpins national income accounting, touches briefly on Enron and other contemporary scandals, and concludes </w:t>
      </w:r>
      <w:r w:rsidR="00DE3D8F">
        <w:lastRenderedPageBreak/>
        <w:t>by noting that the long-term future of the planet may depend on how well accountants capture the full economic, social and environmental costs of the res</w:t>
      </w:r>
      <w:r w:rsidR="00CD0D88">
        <w:t xml:space="preserve">ources we use. The book </w:t>
      </w:r>
      <w:r w:rsidR="00510285">
        <w:t>synthesizes wide, but selective, reading. It</w:t>
      </w:r>
      <w:r w:rsidR="00DE3D8F">
        <w:t xml:space="preserve"> contains references and </w:t>
      </w:r>
      <w:r w:rsidR="00CD0D88">
        <w:t xml:space="preserve">a bibliography at the end, </w:t>
      </w:r>
      <w:r w:rsidR="00DE3D8F">
        <w:t xml:space="preserve">the main text </w:t>
      </w:r>
      <w:r w:rsidR="00CD0D88">
        <w:t>being presented</w:t>
      </w:r>
      <w:r w:rsidR="00DE3D8F">
        <w:t xml:space="preserve"> with very few “academic” signs (</w:t>
      </w:r>
      <w:r w:rsidR="00CD0D88">
        <w:t xml:space="preserve">merely </w:t>
      </w:r>
      <w:r w:rsidR="00DE3D8F">
        <w:t>some use of indented block</w:t>
      </w:r>
      <w:r w:rsidR="00E25229">
        <w:t xml:space="preserve"> </w:t>
      </w:r>
      <w:r w:rsidR="00DE3D8F">
        <w:t xml:space="preserve">quotations and a few figures). Some aspects of the book are particularly commendable – the coverage of national income accounting gives prominence to an aspect often overlooked by historians of accounting (but see Napier </w:t>
      </w:r>
      <w:r w:rsidR="00510285">
        <w:t>[</w:t>
      </w:r>
      <w:r w:rsidR="00DE3D8F">
        <w:t>1996</w:t>
      </w:r>
      <w:r w:rsidR="00895ADA">
        <w:t>,</w:t>
      </w:r>
      <w:r w:rsidR="00A17E2D">
        <w:t xml:space="preserve"> </w:t>
      </w:r>
      <w:r w:rsidR="00CA7918">
        <w:t>p</w:t>
      </w:r>
      <w:r w:rsidR="00895ADA">
        <w:t xml:space="preserve">p. </w:t>
      </w:r>
      <w:r w:rsidR="00DE3D8F">
        <w:t>467-468</w:t>
      </w:r>
      <w:r w:rsidR="00510285">
        <w:t>]</w:t>
      </w:r>
      <w:r w:rsidR="00DE3D8F">
        <w:t xml:space="preserve">; Suzuki </w:t>
      </w:r>
      <w:r w:rsidR="00510285">
        <w:t>[</w:t>
      </w:r>
      <w:r w:rsidR="00DE3D8F">
        <w:t>2003</w:t>
      </w:r>
      <w:r w:rsidR="00510285">
        <w:t>]</w:t>
      </w:r>
      <w:r w:rsidR="00DE3D8F">
        <w:t>).</w:t>
      </w:r>
      <w:r w:rsidR="005A664F">
        <w:t xml:space="preserve"> However, reviewers have identified problems with both Gleeson-White’s general narrative </w:t>
      </w:r>
      <w:r w:rsidR="00510285">
        <w:t>[</w:t>
      </w:r>
      <w:r w:rsidR="005A664F">
        <w:t>Soll, 2012</w:t>
      </w:r>
      <w:r w:rsidR="00510285">
        <w:t>]</w:t>
      </w:r>
      <w:r w:rsidR="005A664F">
        <w:t xml:space="preserve"> and her detailed appreciation of the emergence of double-entry and the work of Pacioli </w:t>
      </w:r>
      <w:r w:rsidR="00510285">
        <w:t>[</w:t>
      </w:r>
      <w:r w:rsidR="005A664F">
        <w:t>Sangster, 2012</w:t>
      </w:r>
      <w:r w:rsidR="00510285">
        <w:t>]</w:t>
      </w:r>
      <w:r w:rsidR="005A664F">
        <w:t>.</w:t>
      </w:r>
      <w:r w:rsidR="00D26237">
        <w:t xml:space="preserve"> In addition, Gleeson-White often </w:t>
      </w:r>
      <w:r w:rsidR="004224D6">
        <w:t>relies</w:t>
      </w:r>
      <w:r w:rsidR="00D26237">
        <w:t xml:space="preserve"> on a small number of sources, typically secondary rather than primary – for example, she notes </w:t>
      </w:r>
      <w:r w:rsidR="00510285">
        <w:t>[</w:t>
      </w:r>
      <w:r w:rsidR="00D26237">
        <w:t>201</w:t>
      </w:r>
      <w:r w:rsidR="00252390">
        <w:t>1</w:t>
      </w:r>
      <w:r w:rsidR="00D26237">
        <w:t>, p. 267</w:t>
      </w:r>
      <w:r w:rsidR="00510285">
        <w:t>]</w:t>
      </w:r>
      <w:r w:rsidR="00D26237">
        <w:t xml:space="preserve"> that her discussion of Enron draws </w:t>
      </w:r>
      <w:r w:rsidR="004224D6">
        <w:t xml:space="preserve">on </w:t>
      </w:r>
      <w:r w:rsidR="00D26237">
        <w:t xml:space="preserve">an article in the </w:t>
      </w:r>
      <w:r w:rsidR="00D26237">
        <w:rPr>
          <w:i/>
        </w:rPr>
        <w:t>Guardian</w:t>
      </w:r>
      <w:r w:rsidR="004224D6" w:rsidRPr="004224D6">
        <w:rPr>
          <w:rStyle w:val="FootnoteReference"/>
        </w:rPr>
        <w:footnoteReference w:id="3"/>
      </w:r>
      <w:r w:rsidR="004224D6">
        <w:t xml:space="preserve"> by Anna Pha </w:t>
      </w:r>
      <w:r w:rsidR="00510285">
        <w:t>[</w:t>
      </w:r>
      <w:r w:rsidR="004224D6">
        <w:t>2002</w:t>
      </w:r>
      <w:r w:rsidR="00510285">
        <w:t>]</w:t>
      </w:r>
      <w:r w:rsidR="004224D6">
        <w:t xml:space="preserve"> and a section of Niall Ferguson’s </w:t>
      </w:r>
      <w:r w:rsidR="004224D6">
        <w:rPr>
          <w:i/>
        </w:rPr>
        <w:t>The Ascent of Money: A Financial History of the World</w:t>
      </w:r>
      <w:r w:rsidR="004224D6">
        <w:t xml:space="preserve"> </w:t>
      </w:r>
      <w:r w:rsidR="00510285">
        <w:t>[</w:t>
      </w:r>
      <w:r w:rsidR="004224D6">
        <w:t>2008</w:t>
      </w:r>
      <w:r w:rsidR="00510285">
        <w:t>]</w:t>
      </w:r>
      <w:r w:rsidR="004224D6">
        <w:t>, incidentally a book linked to a “popular history” television series broadcast by Channel 4 in the UK in 2008</w:t>
      </w:r>
      <w:r w:rsidR="009B1DF0">
        <w:rPr>
          <w:rStyle w:val="FootnoteReference"/>
        </w:rPr>
        <w:footnoteReference w:id="4"/>
      </w:r>
      <w:r w:rsidR="004224D6">
        <w:t>.</w:t>
      </w:r>
    </w:p>
    <w:p w:rsidR="005A664F" w:rsidRDefault="005A664F" w:rsidP="00055801">
      <w:r>
        <w:t xml:space="preserve">The main themes addressed by Gleeson-White – double-entry, Luca Pacioli, the rise of capitalism, the emergence, development and possible decline of the accounting profession, and corporate scandal – are clearly perceived to interest the general reader, and we would expect popular histories of accounting to address similar themes. </w:t>
      </w:r>
      <w:r w:rsidR="00510285">
        <w:t xml:space="preserve">Before examining how accounting history has been mobilized by the writers of </w:t>
      </w:r>
      <w:r w:rsidR="00510285">
        <w:lastRenderedPageBreak/>
        <w:t xml:space="preserve">popular post-Enron stories, </w:t>
      </w:r>
      <w:r>
        <w:t>we remind readers of the main events surrounding the collapse of Enron (and Arthur Andersen)</w:t>
      </w:r>
      <w:r w:rsidR="00510285">
        <w:t>.</w:t>
      </w:r>
    </w:p>
    <w:p w:rsidR="0004738F" w:rsidRDefault="0004738F" w:rsidP="005A664F">
      <w:pPr>
        <w:ind w:firstLine="0"/>
      </w:pPr>
    </w:p>
    <w:p w:rsidR="005E7B22" w:rsidRPr="009B69B1" w:rsidRDefault="005E7B22" w:rsidP="009B69B1">
      <w:pPr>
        <w:keepNext/>
        <w:ind w:firstLine="0"/>
        <w:rPr>
          <w:b/>
        </w:rPr>
      </w:pPr>
      <w:r w:rsidRPr="009B69B1">
        <w:rPr>
          <w:b/>
        </w:rPr>
        <w:t>Enron</w:t>
      </w:r>
      <w:r w:rsidR="005A664F" w:rsidRPr="009B69B1">
        <w:rPr>
          <w:b/>
        </w:rPr>
        <w:t xml:space="preserve"> and the fall of Arthur Andersen</w:t>
      </w:r>
    </w:p>
    <w:p w:rsidR="00DB5CF8" w:rsidRPr="0004738F" w:rsidRDefault="005E7B22" w:rsidP="00DF7C8D">
      <w:r w:rsidRPr="0004738F">
        <w:t xml:space="preserve">Enron was founded in 1985 </w:t>
      </w:r>
      <w:r w:rsidR="00DB5CF8" w:rsidRPr="0004738F">
        <w:t xml:space="preserve">by Kenneth Lay </w:t>
      </w:r>
      <w:r w:rsidRPr="0004738F">
        <w:t>as a natural gas pipelines company.  It diversified into electricity, coal, plastics and other industries, including telecommunications bandwi</w:t>
      </w:r>
      <w:r w:rsidR="005A664F">
        <w:t>d</w:t>
      </w:r>
      <w:r w:rsidRPr="0004738F">
        <w:t xml:space="preserve">th trading.  It gained a reputation </w:t>
      </w:r>
      <w:r w:rsidR="00EA20B7" w:rsidRPr="0004738F">
        <w:t>as a high-performing stock and was not</w:t>
      </w:r>
      <w:r w:rsidR="005A664F">
        <w:t>ed</w:t>
      </w:r>
      <w:r w:rsidR="00EA20B7" w:rsidRPr="0004738F">
        <w:t xml:space="preserve"> </w:t>
      </w:r>
      <w:r w:rsidRPr="0004738F">
        <w:t xml:space="preserve">for </w:t>
      </w:r>
      <w:r w:rsidR="005A664F">
        <w:t xml:space="preserve">regularly </w:t>
      </w:r>
      <w:r w:rsidRPr="0004738F">
        <w:t xml:space="preserve">exceeding earnings expectations and </w:t>
      </w:r>
      <w:r w:rsidR="005A664F">
        <w:t xml:space="preserve">for its </w:t>
      </w:r>
      <w:r w:rsidR="00EA20B7" w:rsidRPr="0004738F">
        <w:t>remarkably strong share price performance</w:t>
      </w:r>
      <w:r w:rsidR="005A664F">
        <w:t>. By the end of the 1990s, Enron</w:t>
      </w:r>
      <w:r w:rsidR="0004738F">
        <w:t xml:space="preserve"> had become one of the largest and most prominent corporations in the US</w:t>
      </w:r>
      <w:r w:rsidR="00CB5447">
        <w:t>A</w:t>
      </w:r>
      <w:r w:rsidRPr="0004738F">
        <w:t xml:space="preserve">.  </w:t>
      </w:r>
      <w:r w:rsidR="005A664F">
        <w:t xml:space="preserve">However, unknown to investors, </w:t>
      </w:r>
      <w:r w:rsidRPr="0004738F">
        <w:t xml:space="preserve">Enron </w:t>
      </w:r>
      <w:r w:rsidR="00EA20B7" w:rsidRPr="0004738F">
        <w:t xml:space="preserve">had </w:t>
      </w:r>
      <w:r w:rsidRPr="0004738F">
        <w:t>established a se</w:t>
      </w:r>
      <w:r w:rsidR="00EA20B7" w:rsidRPr="0004738F">
        <w:t>t</w:t>
      </w:r>
      <w:r w:rsidRPr="0004738F">
        <w:t xml:space="preserve"> of off-balance sheet special purpose entities (SPEs).  Large debts were accumulated in these off-balance sheet entities, </w:t>
      </w:r>
      <w:r w:rsidR="005A664F">
        <w:t>which</w:t>
      </w:r>
      <w:r w:rsidR="00DB5CF8" w:rsidRPr="0004738F">
        <w:t xml:space="preserve"> were controlled by the Chief Financial Officer, Andy Fastow, </w:t>
      </w:r>
      <w:r w:rsidRPr="0004738F">
        <w:t xml:space="preserve">allowing the corporation to sustain </w:t>
      </w:r>
      <w:r w:rsidR="005A664F">
        <w:t xml:space="preserve">an appearance of </w:t>
      </w:r>
      <w:r w:rsidRPr="0004738F">
        <w:t xml:space="preserve">strong financial </w:t>
      </w:r>
      <w:r w:rsidR="00DB5CF8" w:rsidRPr="0004738F">
        <w:t>performance</w:t>
      </w:r>
      <w:r w:rsidRPr="0004738F">
        <w:t xml:space="preserve"> and </w:t>
      </w:r>
      <w:r w:rsidR="005A664F">
        <w:t xml:space="preserve">hence achieving </w:t>
      </w:r>
      <w:r w:rsidR="0004738F">
        <w:t xml:space="preserve">flourishing </w:t>
      </w:r>
      <w:r w:rsidRPr="0004738F">
        <w:t xml:space="preserve">share price growth.  </w:t>
      </w:r>
      <w:r w:rsidR="005A664F">
        <w:t>Enron</w:t>
      </w:r>
      <w:r w:rsidR="0004738F">
        <w:t xml:space="preserve"> also traded with these SPEs</w:t>
      </w:r>
      <w:r w:rsidR="005A664F">
        <w:t>, thus allowing for a significant amount of earnings manipulation</w:t>
      </w:r>
      <w:r w:rsidR="00EA20B7" w:rsidRPr="0004738F">
        <w:t xml:space="preserve">.  </w:t>
      </w:r>
      <w:r w:rsidR="00DB5CF8" w:rsidRPr="0004738F">
        <w:t xml:space="preserve">Enron’s underlying </w:t>
      </w:r>
      <w:r w:rsidR="00EA20B7" w:rsidRPr="0004738F">
        <w:t xml:space="preserve">financial position and </w:t>
      </w:r>
      <w:r w:rsidR="00DB5CF8" w:rsidRPr="0004738F">
        <w:t>performance, however, wa</w:t>
      </w:r>
      <w:r w:rsidR="00EA20B7" w:rsidRPr="0004738F">
        <w:t xml:space="preserve">s </w:t>
      </w:r>
      <w:r w:rsidR="0004738F" w:rsidRPr="0004738F">
        <w:t>deteriorating</w:t>
      </w:r>
      <w:r w:rsidR="00EA20B7" w:rsidRPr="0004738F">
        <w:t xml:space="preserve">, resulting in </w:t>
      </w:r>
      <w:r w:rsidR="00DB5CF8" w:rsidRPr="0004738F">
        <w:t>major write offs</w:t>
      </w:r>
      <w:r w:rsidR="00EA20B7" w:rsidRPr="0004738F">
        <w:t xml:space="preserve"> occurring in </w:t>
      </w:r>
      <w:r w:rsidR="005A664F">
        <w:t xml:space="preserve">quarterly financial statements issued in </w:t>
      </w:r>
      <w:r w:rsidR="00EA20B7" w:rsidRPr="0004738F">
        <w:t>October 2001</w:t>
      </w:r>
      <w:r w:rsidR="00DB5CF8" w:rsidRPr="0004738F">
        <w:t xml:space="preserve">.  </w:t>
      </w:r>
      <w:r w:rsidR="00EA20B7" w:rsidRPr="0004738F">
        <w:t>Six weeks later</w:t>
      </w:r>
      <w:r w:rsidR="00510285">
        <w:t>,</w:t>
      </w:r>
      <w:r w:rsidR="00DB5CF8" w:rsidRPr="0004738F">
        <w:t xml:space="preserve"> in November 2001, the company filed for bankruptcy. </w:t>
      </w:r>
    </w:p>
    <w:p w:rsidR="005E7B22" w:rsidRDefault="00DB5CF8" w:rsidP="005A664F">
      <w:r w:rsidRPr="0004738F">
        <w:t xml:space="preserve">Following the Enron collapse, it emerged that </w:t>
      </w:r>
      <w:r w:rsidR="00510285">
        <w:t xml:space="preserve">Enron’s auditors, </w:t>
      </w:r>
      <w:r w:rsidR="00D57CF0" w:rsidRPr="0004738F">
        <w:t>the international professional services firm</w:t>
      </w:r>
      <w:r w:rsidR="00D57CF0">
        <w:t xml:space="preserve"> </w:t>
      </w:r>
      <w:r w:rsidR="00EA20B7" w:rsidRPr="0004738F">
        <w:t>Arthur Anderse</w:t>
      </w:r>
      <w:r w:rsidRPr="0004738F">
        <w:t>n</w:t>
      </w:r>
      <w:r w:rsidR="00510285">
        <w:t>,</w:t>
      </w:r>
      <w:r w:rsidR="005A664F">
        <w:t xml:space="preserve"> had </w:t>
      </w:r>
      <w:r w:rsidRPr="0004738F">
        <w:t>beg</w:t>
      </w:r>
      <w:r w:rsidR="005A664F">
        <w:t>u</w:t>
      </w:r>
      <w:r w:rsidRPr="0004738F">
        <w:t>n to sh</w:t>
      </w:r>
      <w:r w:rsidR="005A664F">
        <w:t>r</w:t>
      </w:r>
      <w:r w:rsidRPr="0004738F">
        <w:t xml:space="preserve">ed reams of Enron audit working papers, casting doubts as to </w:t>
      </w:r>
      <w:r w:rsidR="00D26237">
        <w:t>t</w:t>
      </w:r>
      <w:r w:rsidRPr="0004738F">
        <w:t xml:space="preserve">he quality of the </w:t>
      </w:r>
      <w:r w:rsidR="00D57CF0">
        <w:t xml:space="preserve">firm’s </w:t>
      </w:r>
      <w:r w:rsidRPr="0004738F">
        <w:t xml:space="preserve">auditing </w:t>
      </w:r>
      <w:r w:rsidR="00D26237">
        <w:t>and the firm’s overall integrity</w:t>
      </w:r>
      <w:r w:rsidRPr="0004738F">
        <w:t xml:space="preserve">.  </w:t>
      </w:r>
      <w:r w:rsidR="00510285">
        <w:t>Andersen also provided substantial advisory and consultancy services (in terms of fee income, Enron was one of Andersen’s largest clients), which</w:t>
      </w:r>
      <w:r w:rsidR="00D26237">
        <w:t xml:space="preserve"> generated more income than the </w:t>
      </w:r>
      <w:r w:rsidRPr="0004738F">
        <w:t>regular audit work</w:t>
      </w:r>
      <w:r w:rsidR="00510285">
        <w:t>. This</w:t>
      </w:r>
      <w:r w:rsidR="00EA20B7" w:rsidRPr="0004738F">
        <w:t xml:space="preserve"> blurred the boundaries </w:t>
      </w:r>
      <w:r w:rsidR="00EA20B7" w:rsidRPr="0004738F">
        <w:lastRenderedPageBreak/>
        <w:t>between auditing and consulting and rais</w:t>
      </w:r>
      <w:r w:rsidR="00D26237">
        <w:t>ed</w:t>
      </w:r>
      <w:r w:rsidR="00EA20B7" w:rsidRPr="0004738F">
        <w:t xml:space="preserve"> strong doubts </w:t>
      </w:r>
      <w:r w:rsidR="00D26237">
        <w:t xml:space="preserve">(at least </w:t>
      </w:r>
      <w:r w:rsidR="00D26237">
        <w:rPr>
          <w:i/>
        </w:rPr>
        <w:t>after</w:t>
      </w:r>
      <w:r w:rsidR="00D26237">
        <w:t xml:space="preserve"> the event)</w:t>
      </w:r>
      <w:r w:rsidR="00D26237">
        <w:rPr>
          <w:i/>
        </w:rPr>
        <w:t xml:space="preserve"> </w:t>
      </w:r>
      <w:r w:rsidR="00EA20B7" w:rsidRPr="0004738F">
        <w:t xml:space="preserve">about the independence of the audit firm.  The SPEs, which were deployed by Enron to mask the underlying financial performance and position of the </w:t>
      </w:r>
      <w:r w:rsidR="0004738F" w:rsidRPr="0004738F">
        <w:t>corporation,</w:t>
      </w:r>
      <w:r w:rsidR="00EA20B7" w:rsidRPr="0004738F">
        <w:t xml:space="preserve"> had been approved by Andersen as legitimate off-balance sheet entities.  The fallout from the Enron document shred</w:t>
      </w:r>
      <w:r w:rsidR="00D26237">
        <w:t>d</w:t>
      </w:r>
      <w:r w:rsidR="00EA20B7" w:rsidRPr="0004738F">
        <w:t>ing led to the firm temporarily losing its licen</w:t>
      </w:r>
      <w:r w:rsidR="00D26237">
        <w:t>c</w:t>
      </w:r>
      <w:r w:rsidR="00EA20B7" w:rsidRPr="0004738F">
        <w:t xml:space="preserve">e </w:t>
      </w:r>
      <w:r w:rsidR="00D26237">
        <w:t xml:space="preserve">from the Securities and Exchange Commission </w:t>
      </w:r>
      <w:r w:rsidR="00EA20B7" w:rsidRPr="0004738F">
        <w:t>to undertake audits</w:t>
      </w:r>
      <w:r w:rsidR="00D26237">
        <w:t xml:space="preserve"> of quoted entities</w:t>
      </w:r>
      <w:r w:rsidR="00EA20B7" w:rsidRPr="0004738F">
        <w:t xml:space="preserve"> in the US</w:t>
      </w:r>
      <w:r w:rsidR="00CB5447">
        <w:t>A</w:t>
      </w:r>
      <w:r w:rsidR="00EA20B7" w:rsidRPr="0004738F">
        <w:t xml:space="preserve">.  </w:t>
      </w:r>
      <w:r w:rsidR="00D26237">
        <w:t>Andersen was also associated with other contemporaneous accounting scandals, including WorldCom and Sunbeam</w:t>
      </w:r>
      <w:r w:rsidR="00D57CF0">
        <w:t>.</w:t>
      </w:r>
      <w:r w:rsidR="00D26237">
        <w:t xml:space="preserve"> </w:t>
      </w:r>
      <w:r w:rsidR="00D57CF0">
        <w:t>M</w:t>
      </w:r>
      <w:r w:rsidR="00D26237">
        <w:t>any other clients, rather than standing by the firm, began to believe that having Andersen as their auditor would be regarded negatively by stakeholders. The dramatic loss of Andersen’s reputation</w:t>
      </w:r>
      <w:r w:rsidR="00EA20B7" w:rsidRPr="0004738F">
        <w:t xml:space="preserve"> led </w:t>
      </w:r>
      <w:r w:rsidR="00D26237">
        <w:t xml:space="preserve">rapidly </w:t>
      </w:r>
      <w:r w:rsidR="00EA20B7" w:rsidRPr="0004738F">
        <w:t>to the firm’s extraordinary demise.</w:t>
      </w:r>
      <w:r w:rsidRPr="0004738F">
        <w:t xml:space="preserve"> </w:t>
      </w:r>
      <w:r w:rsidR="00EA20B7" w:rsidRPr="0004738F">
        <w:t xml:space="preserve"> Never before had the failure of a major corporation in the US</w:t>
      </w:r>
      <w:r w:rsidR="00CB5447">
        <w:t>A</w:t>
      </w:r>
      <w:r w:rsidR="00EA20B7" w:rsidRPr="0004738F">
        <w:t xml:space="preserve"> resulted in the </w:t>
      </w:r>
      <w:r w:rsidR="00D26237">
        <w:t>collapse</w:t>
      </w:r>
      <w:r w:rsidR="00EA20B7" w:rsidRPr="0004738F">
        <w:t xml:space="preserve"> of one of the most prominent international professional services firms.  </w:t>
      </w:r>
      <w:r w:rsidR="0004738F">
        <w:t xml:space="preserve">The accounting profession was suddenly in </w:t>
      </w:r>
      <w:r w:rsidR="00CD0D88">
        <w:t>turmoil</w:t>
      </w:r>
      <w:r w:rsidR="0004738F">
        <w:t xml:space="preserve">, </w:t>
      </w:r>
      <w:r w:rsidR="00D26237">
        <w:t xml:space="preserve">possibly facing </w:t>
      </w:r>
      <w:r w:rsidR="00CD0D88">
        <w:t xml:space="preserve">the </w:t>
      </w:r>
      <w:r w:rsidR="0004738F">
        <w:t xml:space="preserve">biggest crisis </w:t>
      </w:r>
      <w:r w:rsidR="00EA4516">
        <w:t xml:space="preserve">in </w:t>
      </w:r>
      <w:r w:rsidR="00D26237">
        <w:t xml:space="preserve">its </w:t>
      </w:r>
      <w:r w:rsidR="00EA4516">
        <w:t>history</w:t>
      </w:r>
      <w:r w:rsidR="0004738F">
        <w:t>.</w:t>
      </w:r>
    </w:p>
    <w:p w:rsidR="009B69B1" w:rsidRDefault="009B69B1" w:rsidP="009B69B1">
      <w:pPr>
        <w:ind w:firstLine="0"/>
      </w:pPr>
    </w:p>
    <w:p w:rsidR="00734B6E" w:rsidRPr="00E1434D" w:rsidRDefault="00853234" w:rsidP="009B69B1">
      <w:pPr>
        <w:pStyle w:val="Heading2"/>
        <w:spacing w:before="0" w:after="0" w:line="480" w:lineRule="auto"/>
        <w:rPr>
          <w:b/>
          <w:i w:val="0"/>
        </w:rPr>
      </w:pPr>
      <w:r>
        <w:rPr>
          <w:b/>
          <w:i w:val="0"/>
        </w:rPr>
        <w:t xml:space="preserve">Post-Enron </w:t>
      </w:r>
      <w:r w:rsidR="00CD0D88">
        <w:rPr>
          <w:b/>
          <w:i w:val="0"/>
        </w:rPr>
        <w:t>B</w:t>
      </w:r>
      <w:r>
        <w:rPr>
          <w:b/>
          <w:i w:val="0"/>
        </w:rPr>
        <w:t xml:space="preserve">ooks: </w:t>
      </w:r>
      <w:r w:rsidR="00734B6E" w:rsidRPr="00E1434D">
        <w:rPr>
          <w:b/>
          <w:i w:val="0"/>
        </w:rPr>
        <w:t>Histories and Contrasts</w:t>
      </w:r>
    </w:p>
    <w:p w:rsidR="00734B6E" w:rsidRDefault="00734B6E" w:rsidP="00DF7C8D">
      <w:r>
        <w:t xml:space="preserve">When journalists touch on the history of accounting and auditing, </w:t>
      </w:r>
      <w:r w:rsidR="00D57CF0">
        <w:t xml:space="preserve">the </w:t>
      </w:r>
      <w:r>
        <w:t>two most frequently named historical figures are Luca Pacioli and Arthur Andersen.</w:t>
      </w:r>
      <w:r w:rsidR="009B69B1">
        <w:t xml:space="preserve"> Pacioli’s name gained particular prominence around 1994, when the 500</w:t>
      </w:r>
      <w:r w:rsidR="00CD0D88">
        <w:t>th</w:t>
      </w:r>
      <w:r w:rsidR="009B69B1">
        <w:t xml:space="preserve"> anniversary of the publication of his </w:t>
      </w:r>
      <w:r w:rsidR="009B69B1">
        <w:rPr>
          <w:i/>
        </w:rPr>
        <w:t>Summa de Arithmetica</w:t>
      </w:r>
      <w:r w:rsidR="009B69B1">
        <w:t xml:space="preserve"> brought double-entry well into the public arena for a short time. His fame was </w:t>
      </w:r>
      <w:r w:rsidR="007D47A2">
        <w:t>reinforced by the popular accounting software “Pacioli 2000”, an entry-level DOS-based package that was launched in 1991, became one of the most widely used accounting packages in the US</w:t>
      </w:r>
      <w:r w:rsidR="00CB5447">
        <w:t>A</w:t>
      </w:r>
      <w:r w:rsidR="007D47A2">
        <w:t xml:space="preserve">, but was discontinued in the early 2000s. Arthur Andersen’s name was probably better known than those of the founders of other international accounting firms partly because the firm </w:t>
      </w:r>
      <w:r w:rsidR="00CD0D88">
        <w:t>used</w:t>
      </w:r>
      <w:r w:rsidR="007D47A2">
        <w:t xml:space="preserve"> its </w:t>
      </w:r>
      <w:r w:rsidR="007D47A2">
        <w:lastRenderedPageBreak/>
        <w:t>founder</w:t>
      </w:r>
      <w:r w:rsidR="00CD0D88">
        <w:t>’</w:t>
      </w:r>
      <w:r w:rsidR="007D47A2">
        <w:t>s full name as late as 2001, and because Arthur E. Andersen himself died only in 1947, whereas the eponyms of other firms were generally figures of the 19</w:t>
      </w:r>
      <w:r w:rsidR="00CD0D88">
        <w:t>th</w:t>
      </w:r>
      <w:r w:rsidR="007D47A2">
        <w:t xml:space="preserve"> century.</w:t>
      </w:r>
      <w:r>
        <w:t xml:space="preserve"> Particularly insightful in this regard is Berenson </w:t>
      </w:r>
      <w:r w:rsidR="00D57CF0">
        <w:t>[</w:t>
      </w:r>
      <w:r>
        <w:t>2004</w:t>
      </w:r>
      <w:r w:rsidR="00D57CF0">
        <w:t>]</w:t>
      </w:r>
      <w:r w:rsidR="00CD0D88">
        <w:t>,</w:t>
      </w:r>
      <w:r>
        <w:t xml:space="preserve"> who was writing at the time as a financial investigative reporter for </w:t>
      </w:r>
      <w:r>
        <w:rPr>
          <w:i/>
        </w:rPr>
        <w:t>The New York Times</w:t>
      </w:r>
      <w:r>
        <w:t xml:space="preserve">. Berenson </w:t>
      </w:r>
      <w:r w:rsidR="00D57CF0">
        <w:t>[</w:t>
      </w:r>
      <w:r>
        <w:t>2004, p. 23</w:t>
      </w:r>
      <w:r w:rsidR="00D57CF0">
        <w:t>]</w:t>
      </w:r>
      <w:r>
        <w:t xml:space="preserve"> claims:</w:t>
      </w:r>
    </w:p>
    <w:p w:rsidR="00734B6E" w:rsidRDefault="00734B6E" w:rsidP="007D47A2">
      <w:pPr>
        <w:pStyle w:val="Indent"/>
      </w:pPr>
      <w:r>
        <w:t xml:space="preserve">Despite its importance to capitalism, accounting exists almost in a vacuum.  Its past has hardly been studied; historians have inexplicably focused on Napoleon and Stalin instead of Arthur Andersen and Luca Pacioli, the Italian monk who in the late 1400s wrote </w:t>
      </w:r>
      <w:r>
        <w:rPr>
          <w:i/>
        </w:rPr>
        <w:t>Summa</w:t>
      </w:r>
      <w:r>
        <w:t xml:space="preserve">, the first treatise on bookkeeping.  </w:t>
      </w:r>
    </w:p>
    <w:p w:rsidR="00311B26" w:rsidRDefault="00311B26" w:rsidP="007D47A2">
      <w:pPr>
        <w:spacing w:line="240" w:lineRule="auto"/>
        <w:ind w:firstLine="0"/>
      </w:pPr>
    </w:p>
    <w:p w:rsidR="00734B6E" w:rsidRDefault="00734B6E" w:rsidP="00734B6E">
      <w:pPr>
        <w:ind w:firstLine="0"/>
      </w:pPr>
      <w:r>
        <w:t>In the books under review, it is perhaps not surprising that Andersen appears most often as a character, but Pacioli is not entirely overlooked.  Such contributions in the aftermath of the collapse of Enron may be identified as the “after Pacioli, came Andersen” view of accounting history.  Berenson</w:t>
      </w:r>
      <w:r w:rsidR="007D47A2">
        <w:t>’s lack of familiarity with</w:t>
      </w:r>
      <w:r>
        <w:t xml:space="preserve"> the </w:t>
      </w:r>
      <w:r w:rsidR="00B11604">
        <w:t>long-</w:t>
      </w:r>
      <w:r w:rsidR="007D47A2">
        <w:t>established</w:t>
      </w:r>
      <w:r w:rsidR="00B11604">
        <w:t xml:space="preserve"> and ever-growing </w:t>
      </w:r>
      <w:r>
        <w:t>scholarly literature on accounting history</w:t>
      </w:r>
      <w:r w:rsidR="007D47A2">
        <w:t xml:space="preserve"> is evident in his comment that</w:t>
      </w:r>
      <w:r>
        <w:t xml:space="preserve"> accounting’s past “has hardly been studied”.</w:t>
      </w:r>
    </w:p>
    <w:p w:rsidR="00734B6E" w:rsidRDefault="00CD0D88" w:rsidP="00734B6E">
      <w:r>
        <w:t xml:space="preserve">Another author, </w:t>
      </w:r>
      <w:r w:rsidR="00734B6E">
        <w:t>Bryce</w:t>
      </w:r>
      <w:r>
        <w:t>,</w:t>
      </w:r>
      <w:r w:rsidR="00734B6E">
        <w:t xml:space="preserve"> </w:t>
      </w:r>
      <w:r w:rsidR="00D57CF0">
        <w:t>specifically warns his readers that he is providing “a bit of history” [Bryce, 2003, p.</w:t>
      </w:r>
      <w:r w:rsidR="00895ADA">
        <w:t xml:space="preserve"> </w:t>
      </w:r>
      <w:r w:rsidR="00D57CF0">
        <w:t xml:space="preserve">61]. Bryce </w:t>
      </w:r>
      <w:r w:rsidR="00734B6E">
        <w:t>acknowledges the long history of accounting in stating “It</w:t>
      </w:r>
      <w:r w:rsidR="007D47A2">
        <w:t>’</w:t>
      </w:r>
      <w:r w:rsidR="00734B6E">
        <w:t xml:space="preserve">s [Enron] the biggest scandal to ever hit accounting, the world's </w:t>
      </w:r>
      <w:r w:rsidR="00734B6E">
        <w:rPr>
          <w:rStyle w:val="Emphasis"/>
        </w:rPr>
        <w:t>second oldest</w:t>
      </w:r>
      <w:r w:rsidR="00734B6E">
        <w:t xml:space="preserve"> profession" </w:t>
      </w:r>
      <w:r w:rsidR="009743A4">
        <w:t>[</w:t>
      </w:r>
      <w:r w:rsidR="00734B6E">
        <w:t>2003, p. 6; emphasis added</w:t>
      </w:r>
      <w:r w:rsidR="009743A4">
        <w:t>]</w:t>
      </w:r>
      <w:r w:rsidR="00734B6E">
        <w:t>.  He claims that “modern accounting methods . . . started with a Franciscan friar, Frater Luca Bartolomes Pacioli, who believed that Renaissance businessmen needed a reliable way to assess their financial condition.  . . .  His answer was dual-entry account</w:t>
      </w:r>
      <w:r w:rsidR="005A707D">
        <w:t>ing … [known as]</w:t>
      </w:r>
      <w:r w:rsidR="00614F5E">
        <w:t xml:space="preserve"> the ‘Italian method’”</w:t>
      </w:r>
      <w:r w:rsidR="00734B6E">
        <w:t xml:space="preserve"> </w:t>
      </w:r>
      <w:r w:rsidR="009743A4">
        <w:t>[</w:t>
      </w:r>
      <w:r w:rsidR="00734B6E">
        <w:t>2003, p. 61</w:t>
      </w:r>
      <w:r w:rsidR="009743A4">
        <w:t>]</w:t>
      </w:r>
      <w:r w:rsidR="00734B6E">
        <w:t xml:space="preserve">.  Pacioli is used by Bryce to personify traditional accrual accounting, in contrast to Enron’s extensive use of mark-to-market accounting, the adoption of which is regarded by Bryce as “one of the seeds of Enron’s destruction” </w:t>
      </w:r>
      <w:r w:rsidR="009743A4">
        <w:t>[</w:t>
      </w:r>
      <w:r w:rsidR="00734B6E">
        <w:t>2003, p. 66</w:t>
      </w:r>
      <w:r w:rsidR="009743A4">
        <w:t>]</w:t>
      </w:r>
      <w:r w:rsidR="00734B6E">
        <w:t xml:space="preserve">.  Bryce’s rapid leap from Pacioli to the 1990s, thereby bypassing </w:t>
      </w:r>
      <w:r w:rsidR="00734B6E">
        <w:lastRenderedPageBreak/>
        <w:t xml:space="preserve">Andersen, is </w:t>
      </w:r>
      <w:r w:rsidR="00705AF2">
        <w:t xml:space="preserve">a good example of what Zan </w:t>
      </w:r>
      <w:r w:rsidR="009743A4">
        <w:t>[</w:t>
      </w:r>
      <w:r w:rsidR="00705AF2">
        <w:t>1994</w:t>
      </w:r>
      <w:r w:rsidR="00734B6E">
        <w:t>, p. 257</w:t>
      </w:r>
      <w:r w:rsidR="009743A4">
        <w:t>]</w:t>
      </w:r>
      <w:r w:rsidR="00734B6E">
        <w:t xml:space="preserve"> has referred to as the “after Pacioli, nothing” tendency in the use of accounting history (though Zan was strictly referring to non-Italian histories of Italian accounting).  According to Bryce </w:t>
      </w:r>
      <w:r w:rsidR="009743A4">
        <w:t>[</w:t>
      </w:r>
      <w:r w:rsidR="00734B6E">
        <w:t>2003, p. 379</w:t>
      </w:r>
      <w:r w:rsidR="009743A4">
        <w:t>]</w:t>
      </w:r>
      <w:r w:rsidR="00734B6E">
        <w:t xml:space="preserve">, </w:t>
      </w:r>
      <w:r w:rsidR="0041409C">
        <w:t>“</w:t>
      </w:r>
      <w:r w:rsidR="00734B6E">
        <w:t>there are several biographies of Pacioli.  Much of my information on him came from the web site of the Association of Chartered Accountants in the U.S.</w:t>
      </w:r>
      <w:r w:rsidR="009743A4">
        <w:t>”</w:t>
      </w:r>
      <w:r w:rsidR="009743A4">
        <w:rPr>
          <w:rStyle w:val="FootnoteReference"/>
        </w:rPr>
        <w:footnoteReference w:id="5"/>
      </w:r>
    </w:p>
    <w:p w:rsidR="00CC2939" w:rsidRDefault="00CC2939" w:rsidP="00CC2939">
      <w:r>
        <w:t xml:space="preserve">In introducing Pacioli, Brewster </w:t>
      </w:r>
      <w:r w:rsidR="009743A4">
        <w:t>[</w:t>
      </w:r>
      <w:r>
        <w:t>2003, p. 31</w:t>
      </w:r>
      <w:r w:rsidR="009743A4">
        <w:t>]</w:t>
      </w:r>
      <w:r>
        <w:t xml:space="preserve"> claims “the roughly one thousand years between the end of the Roman Empire and the rise of great merchant houses in fourteenth-century Italy was known as a period of accounting stagnation”.  Pacioli, who is identified by Brewster as “the father of accounting … was the most effective dabbler in accounting the world has ever seen” </w:t>
      </w:r>
      <w:r w:rsidR="005B459A">
        <w:t>[</w:t>
      </w:r>
      <w:r>
        <w:t>2003, p. 31</w:t>
      </w:r>
      <w:r w:rsidR="005B459A">
        <w:t>]</w:t>
      </w:r>
      <w:r>
        <w:t>.  Pacioli</w:t>
      </w:r>
      <w:r w:rsidR="00CD0D88">
        <w:t>’s</w:t>
      </w:r>
      <w:r>
        <w:t xml:space="preserve"> main areas of interest in mathematics and theology are identified and his “famous treatise on accounting” is outlined.  Double</w:t>
      </w:r>
      <w:r w:rsidR="0041409C">
        <w:t>-</w:t>
      </w:r>
      <w:r>
        <w:t xml:space="preserve">entry bookkeeping, otherwise identified by Brewster as “the Italian system” or the “Venetian method”, is described “as the equivalent of the printing press in publishing” </w:t>
      </w:r>
      <w:r w:rsidR="005B459A">
        <w:t>[</w:t>
      </w:r>
      <w:r>
        <w:t>2003, p. 31</w:t>
      </w:r>
      <w:r w:rsidR="005B459A">
        <w:t>]</w:t>
      </w:r>
      <w:r>
        <w:t>.  Brewster relates Pacioli’s 1494 treatise on double</w:t>
      </w:r>
      <w:r w:rsidR="0041409C">
        <w:t>-</w:t>
      </w:r>
      <w:r>
        <w:t xml:space="preserve">entry bookkeeping to contemporary events in stating “its application was so significant in terms of the efficiency and the clarify it introduced that it became the standard throughout the West and is still the basic model for businesses today” </w:t>
      </w:r>
      <w:r w:rsidR="005B459A">
        <w:t>[</w:t>
      </w:r>
      <w:r>
        <w:t>2003, p. 31</w:t>
      </w:r>
      <w:r w:rsidR="005B459A">
        <w:t>]</w:t>
      </w:r>
      <w:r>
        <w:t>.</w:t>
      </w:r>
    </w:p>
    <w:p w:rsidR="00734B6E" w:rsidRDefault="00734B6E" w:rsidP="00734B6E">
      <w:r>
        <w:t xml:space="preserve">Although most of the authors of the books reviewed consider themselves chroniclers of contemporary events, several of the books were explicitly written as histories.  The dust-jacket of the Brewster </w:t>
      </w:r>
      <w:r w:rsidR="005B459A">
        <w:t>[</w:t>
      </w:r>
      <w:r>
        <w:t>2003</w:t>
      </w:r>
      <w:r w:rsidR="005B459A">
        <w:t>]</w:t>
      </w:r>
      <w:r>
        <w:t xml:space="preserve"> book notes that the author “traces the profession from its birth in the Middle East, to its rise as one of the most </w:t>
      </w:r>
      <w:r>
        <w:lastRenderedPageBreak/>
        <w:t xml:space="preserve">universally respected in the Western world, to the calamitous scandals of the past two years, to the fall of Andersen and the passage of the Sarbanes-Oxley Act”.  Squires et al. </w:t>
      </w:r>
      <w:r w:rsidR="005B459A">
        <w:t>[</w:t>
      </w:r>
      <w:r>
        <w:t>2003, p. xiv</w:t>
      </w:r>
      <w:r w:rsidR="005B459A">
        <w:t>]</w:t>
      </w:r>
      <w:r>
        <w:t xml:space="preserve"> comment in their Preface that readers “will understand the long chain of events that eventually caused Andersen to fall.”</w:t>
      </w:r>
      <w:r>
        <w:rPr>
          <w:rStyle w:val="FootnoteReference"/>
        </w:rPr>
        <w:footnoteReference w:id="6"/>
      </w:r>
      <w:r>
        <w:t xml:space="preserve">  The </w:t>
      </w:r>
      <w:r w:rsidR="006E7DA7">
        <w:t xml:space="preserve">outside </w:t>
      </w:r>
      <w:r>
        <w:t xml:space="preserve">back cover of Berenson </w:t>
      </w:r>
      <w:r w:rsidR="005B459A">
        <w:t>[</w:t>
      </w:r>
      <w:r>
        <w:t>2004</w:t>
      </w:r>
      <w:r w:rsidR="005B459A">
        <w:t>]</w:t>
      </w:r>
      <w:r>
        <w:t xml:space="preserve"> states “with wit and a broad historical perspective, Berenson puts Enron, WorldCom and the other accounting disasters of recent years in devastating context”. </w:t>
      </w:r>
    </w:p>
    <w:p w:rsidR="00734B6E" w:rsidRPr="002D038D" w:rsidRDefault="00734B6E" w:rsidP="00734B6E">
      <w:r>
        <w:t xml:space="preserve">Journalist writers aim to provide a narrative and chronology of the events leading up to, and the aftermath of, their chosen corporate collapse, but often go outside their strict “time line” to provide historical material on the origins of Andersen and more generally on the US accounting profession.  This sometimes appears as mere dabbling.  Fox, for example, devotes only 11 lines to her historical sketch of the origins and development of Andersen </w:t>
      </w:r>
      <w:r w:rsidR="005B459A">
        <w:t>[</w:t>
      </w:r>
      <w:r>
        <w:t>Fox, 2003, p. 181</w:t>
      </w:r>
      <w:r w:rsidR="005B459A">
        <w:t>]</w:t>
      </w:r>
      <w:r>
        <w:t xml:space="preserve">, and references her source as the Andersen website.  McLean and Elkind are more generous with about six paragraphs on the history of Andersen </w:t>
      </w:r>
      <w:r w:rsidR="005B459A">
        <w:t>[</w:t>
      </w:r>
      <w:r>
        <w:t>McLean and Elkind, 2003</w:t>
      </w:r>
      <w:r w:rsidR="00895ADA">
        <w:t>, pp.</w:t>
      </w:r>
      <w:r w:rsidR="00A17E2D">
        <w:t xml:space="preserve"> </w:t>
      </w:r>
      <w:r>
        <w:t>143-145</w:t>
      </w:r>
      <w:r w:rsidR="005B459A">
        <w:t>]</w:t>
      </w:r>
      <w:r>
        <w:t xml:space="preserve">.  As these authors do not provide references, it is not possible to be definite about their sources, but their history is a slightly enlarged version of that offered by Fox.  Eichenwald </w:t>
      </w:r>
      <w:r w:rsidR="005B459A">
        <w:t>[</w:t>
      </w:r>
      <w:r>
        <w:t>2005, p. 427</w:t>
      </w:r>
      <w:r w:rsidR="005B459A">
        <w:t>]</w:t>
      </w:r>
      <w:r>
        <w:t xml:space="preserve"> notes that “Andersen had a storied history”, but does not expand on this.  Jeter </w:t>
      </w:r>
      <w:r w:rsidR="005B459A">
        <w:t>[</w:t>
      </w:r>
      <w:r>
        <w:t>2003</w:t>
      </w:r>
      <w:r w:rsidR="00895ADA">
        <w:t>, pp.</w:t>
      </w:r>
      <w:r w:rsidR="00A17E2D">
        <w:t xml:space="preserve"> </w:t>
      </w:r>
      <w:r>
        <w:t>207-208</w:t>
      </w:r>
      <w:r w:rsidR="005B459A">
        <w:t>]</w:t>
      </w:r>
      <w:r>
        <w:t xml:space="preserve"> uses some of the same anecdotes, referencing a BBC </w:t>
      </w:r>
      <w:r>
        <w:rPr>
          <w:i/>
        </w:rPr>
        <w:t>Money Programme</w:t>
      </w:r>
      <w:r>
        <w:t xml:space="preserve"> documentary on Andersen broadcast in 2002.</w:t>
      </w:r>
      <w:r>
        <w:rPr>
          <w:rStyle w:val="FootnoteReference"/>
        </w:rPr>
        <w:footnoteReference w:id="7"/>
      </w:r>
    </w:p>
    <w:p w:rsidR="00734B6E" w:rsidRDefault="00734B6E" w:rsidP="00541B1C">
      <w:r>
        <w:lastRenderedPageBreak/>
        <w:t xml:space="preserve">This relative lack of interest in the history of Andersen is not a consequence of a shortage of source material.  The firm had self-published a number of historical reviews over the years </w:t>
      </w:r>
      <w:r w:rsidR="005B459A">
        <w:t>[</w:t>
      </w:r>
      <w:r>
        <w:t>Arthur Andersen &amp; Co., 1974, 1988</w:t>
      </w:r>
      <w:r w:rsidR="005B459A">
        <w:t>]</w:t>
      </w:r>
      <w:r>
        <w:t xml:space="preserve"> alongside a collection of Arthur E. Andersen’s speeches and writings </w:t>
      </w:r>
      <w:r w:rsidR="005B459A">
        <w:t>[</w:t>
      </w:r>
      <w:r>
        <w:t>Arthur Andersen &amp; Co., 1970</w:t>
      </w:r>
      <w:r w:rsidR="005B459A">
        <w:t>]</w:t>
      </w:r>
      <w:r>
        <w:t xml:space="preserve">, and </w:t>
      </w:r>
      <w:r w:rsidR="005B459A">
        <w:t xml:space="preserve">the </w:t>
      </w:r>
      <w:r>
        <w:t xml:space="preserve">extensive reminiscences </w:t>
      </w:r>
      <w:r w:rsidR="005B459A">
        <w:t xml:space="preserve">of Leonard Spacek, a later chairman of Arthur Andersen, </w:t>
      </w:r>
      <w:r>
        <w:t xml:space="preserve">had also been published in book form (Spacek, 1989).  The two Andersen insider accounts </w:t>
      </w:r>
      <w:r w:rsidR="005B459A">
        <w:t>[</w:t>
      </w:r>
      <w:r>
        <w:t>Squires et al., 2003</w:t>
      </w:r>
      <w:r w:rsidR="005B459A">
        <w:t>;</w:t>
      </w:r>
      <w:r>
        <w:t xml:space="preserve"> Toffler, 2003</w:t>
      </w:r>
      <w:r w:rsidR="005B459A">
        <w:t>]</w:t>
      </w:r>
      <w:r>
        <w:t xml:space="preserve"> draw heavily, if uncritically, from these sources, which, like others of the genre, have a propensity to present flattering accounts of past events and accomplishments </w:t>
      </w:r>
      <w:r w:rsidR="005B459A">
        <w:t>[</w:t>
      </w:r>
      <w:r>
        <w:t>Carnegie and Napier, 1996, p. 24</w:t>
      </w:r>
      <w:r w:rsidR="005B459A">
        <w:t>]</w:t>
      </w:r>
      <w:r>
        <w:t xml:space="preserve">.  </w:t>
      </w:r>
      <w:r w:rsidR="00541B1C">
        <w:t>Relying on such official historical reviews and acknowledging the role of sentiment may have contributed to the making of certain simplistic statements by these authors such as the following: “For 89 years, Arthur Andersen was a mainstay of the accounting profession holding a reputation for honesty and trustworthiness</w:t>
      </w:r>
      <w:r w:rsidR="0041409C">
        <w:t>”</w:t>
      </w:r>
      <w:r w:rsidR="00541B1C">
        <w:t xml:space="preserve"> </w:t>
      </w:r>
      <w:r w:rsidR="005B459A">
        <w:t>[</w:t>
      </w:r>
      <w:r w:rsidR="00541B1C">
        <w:t>Squires et al., 2003, p. 10</w:t>
      </w:r>
      <w:r w:rsidR="005B459A">
        <w:t>]</w:t>
      </w:r>
      <w:r w:rsidR="00541B1C">
        <w:t xml:space="preserve">.  </w:t>
      </w:r>
    </w:p>
    <w:p w:rsidR="00CE116B" w:rsidRDefault="00734B6E" w:rsidP="00734B6E">
      <w:r>
        <w:t xml:space="preserve">Brewster </w:t>
      </w:r>
      <w:r w:rsidR="005B459A">
        <w:t>[</w:t>
      </w:r>
      <w:r>
        <w:t>2003</w:t>
      </w:r>
      <w:r w:rsidR="005B459A">
        <w:t>]</w:t>
      </w:r>
      <w:r>
        <w:t xml:space="preserve"> offers apparently the widest knowledge of historical accounting research, though even he uses a limited number of sources</w:t>
      </w:r>
      <w:r w:rsidR="0041409C">
        <w:t>.</w:t>
      </w:r>
      <w:r>
        <w:t xml:space="preserve"> </w:t>
      </w:r>
      <w:r w:rsidR="0041409C">
        <w:t>These include</w:t>
      </w:r>
      <w:r>
        <w:t xml:space="preserve"> official hi</w:t>
      </w:r>
      <w:r w:rsidR="00714766">
        <w:t xml:space="preserve">stories of accounting firms, </w:t>
      </w:r>
      <w:r>
        <w:t xml:space="preserve">the general histories of Previts and Merino </w:t>
      </w:r>
      <w:r w:rsidR="005B459A">
        <w:t>[</w:t>
      </w:r>
      <w:r>
        <w:t>1998</w:t>
      </w:r>
      <w:r w:rsidR="005B459A">
        <w:t>]</w:t>
      </w:r>
      <w:r>
        <w:t xml:space="preserve"> and Chatfield and Vangermeersch </w:t>
      </w:r>
      <w:r w:rsidR="005B459A">
        <w:t>[</w:t>
      </w:r>
      <w:r>
        <w:t>1996</w:t>
      </w:r>
      <w:r w:rsidR="005B459A">
        <w:t>]</w:t>
      </w:r>
      <w:r w:rsidR="00714766">
        <w:t xml:space="preserve"> </w:t>
      </w:r>
      <w:r w:rsidR="00F7362A">
        <w:t xml:space="preserve">and the historical account of Olson </w:t>
      </w:r>
      <w:r w:rsidR="005B459A">
        <w:t>[</w:t>
      </w:r>
      <w:r w:rsidR="00F7362A">
        <w:t>1982</w:t>
      </w:r>
      <w:r w:rsidR="005B459A">
        <w:t>]</w:t>
      </w:r>
      <w:r w:rsidR="00F7362A">
        <w:t xml:space="preserve">, who </w:t>
      </w:r>
      <w:r w:rsidR="00F7362A" w:rsidRPr="008E708D">
        <w:rPr>
          <w:color w:val="000000"/>
        </w:rPr>
        <w:t>served as chief staff officer of the A</w:t>
      </w:r>
      <w:r w:rsidR="00F7362A">
        <w:rPr>
          <w:color w:val="000000"/>
        </w:rPr>
        <w:t>merican Institute of Certified Public Accountants, which</w:t>
      </w:r>
      <w:r w:rsidR="00F7362A">
        <w:t xml:space="preserve"> deals with the relatively short 1969-1980 period</w:t>
      </w:r>
      <w:r w:rsidR="00714766">
        <w:t xml:space="preserve">. </w:t>
      </w:r>
      <w:r>
        <w:t xml:space="preserve">Brewster also draws heavily on archival material in the PricewaterhouseCoopers collection at Columbia University’s Rare Book and Manuscript Library, most notably for correspondence by </w:t>
      </w:r>
      <w:r>
        <w:lastRenderedPageBreak/>
        <w:t>George O. May.</w:t>
      </w:r>
      <w:r w:rsidR="00895ADA">
        <w:rPr>
          <w:rStyle w:val="FootnoteReference"/>
        </w:rPr>
        <w:footnoteReference w:id="8"/>
      </w:r>
      <w:r>
        <w:t xml:space="preserve"> Brewster use</w:t>
      </w:r>
      <w:r w:rsidR="00A8455F">
        <w:t>s</w:t>
      </w:r>
      <w:r>
        <w:t xml:space="preserve"> oral evidence obtained from interviews with some 45 people, including an interview with an eminent accounting historian, Stephen Zeff of Rice University. Berenson </w:t>
      </w:r>
      <w:r w:rsidR="005B459A">
        <w:t>[</w:t>
      </w:r>
      <w:r>
        <w:t>2004</w:t>
      </w:r>
      <w:r w:rsidR="005B459A">
        <w:t>]</w:t>
      </w:r>
      <w:r>
        <w:t xml:space="preserve"> also </w:t>
      </w:r>
      <w:r w:rsidR="000623DB">
        <w:t>employs</w:t>
      </w:r>
      <w:r>
        <w:t xml:space="preserve"> a limited number of sources, including the general histories of Previts and Merino </w:t>
      </w:r>
      <w:r w:rsidR="005B459A">
        <w:t>[</w:t>
      </w:r>
      <w:r>
        <w:t>1998</w:t>
      </w:r>
      <w:r w:rsidR="005B459A">
        <w:t>]</w:t>
      </w:r>
      <w:r>
        <w:t xml:space="preserve"> and Carey </w:t>
      </w:r>
      <w:r w:rsidR="005B459A">
        <w:t>[</w:t>
      </w:r>
      <w:r w:rsidR="00617141">
        <w:t xml:space="preserve">1969, </w:t>
      </w:r>
      <w:r>
        <w:t>1970</w:t>
      </w:r>
      <w:r w:rsidR="005B459A">
        <w:t>]</w:t>
      </w:r>
      <w:r>
        <w:t xml:space="preserve"> and further draws upon the historical resources of Stevens </w:t>
      </w:r>
      <w:r w:rsidR="005B459A">
        <w:t>[</w:t>
      </w:r>
      <w:r>
        <w:t>1981, 1991</w:t>
      </w:r>
      <w:r w:rsidR="005B459A">
        <w:t>]</w:t>
      </w:r>
      <w:r>
        <w:t xml:space="preserve"> in examining changes in the accounting profession since the early 1980s from the perspective of the Big 8 and the Big 6 respectively. Skeel </w:t>
      </w:r>
      <w:r w:rsidR="005B459A">
        <w:t>[</w:t>
      </w:r>
      <w:r>
        <w:t>2005</w:t>
      </w:r>
      <w:r w:rsidR="005B459A">
        <w:t>]</w:t>
      </w:r>
      <w:r>
        <w:t>, whose book sets the Enron collapse in the context of other US scandals, utili</w:t>
      </w:r>
      <w:r w:rsidR="005B459A">
        <w:t>z</w:t>
      </w:r>
      <w:r>
        <w:t>es the business history literature, but his accounting-related sources are the same set of official firm histories used by other authors.</w:t>
      </w:r>
      <w:r>
        <w:rPr>
          <w:rStyle w:val="FootnoteReference"/>
        </w:rPr>
        <w:footnoteReference w:id="9"/>
      </w:r>
      <w:r>
        <w:t xml:space="preserve"> </w:t>
      </w:r>
      <w:r w:rsidRPr="00233F2D">
        <w:t xml:space="preserve"> </w:t>
      </w:r>
    </w:p>
    <w:p w:rsidR="00734B6E" w:rsidRDefault="00734B6E" w:rsidP="00734B6E">
      <w:r>
        <w:t xml:space="preserve">More generally, most authors were clearly unacquainted with the accounting history literature in preparing their volumes. Some authors touch on episodes in business or economic history, such as the Dutch Tulip Mania, the South Sea Bubble and the Wall Street Crash. For instance, Hamilton and Micklethwait </w:t>
      </w:r>
      <w:r w:rsidR="005B459A">
        <w:t>[</w:t>
      </w:r>
      <w:r>
        <w:t>2006</w:t>
      </w:r>
      <w:r w:rsidR="00895ADA">
        <w:t>, pp.</w:t>
      </w:r>
      <w:r>
        <w:t xml:space="preserve"> 9-11</w:t>
      </w:r>
      <w:r w:rsidR="005B459A">
        <w:t>]</w:t>
      </w:r>
      <w:r>
        <w:t xml:space="preserve">, who employ the subtitle “the lessons from recent disasters”, devote a mere two pages in the introduction to “the recent past” as “a tale of boom and bust” </w:t>
      </w:r>
      <w:r w:rsidR="005B459A">
        <w:t>[</w:t>
      </w:r>
      <w:r>
        <w:t>p. 9</w:t>
      </w:r>
      <w:r w:rsidR="005B459A">
        <w:t>]</w:t>
      </w:r>
      <w:r>
        <w:t>, but do not refer to accounting history or to any relevant contributions in this field based on their references. Overall, very little reliance was placed by authors on the available general histories of accounting.</w:t>
      </w:r>
    </w:p>
    <w:p w:rsidR="00734B6E" w:rsidRDefault="00734B6E" w:rsidP="00734B6E">
      <w:r>
        <w:t xml:space="preserve">The general motivation for the use of history is to provide a contrast between accounting and auditing (in general) and Andersen (in particular) in the earlier years </w:t>
      </w:r>
      <w:r>
        <w:lastRenderedPageBreak/>
        <w:t>of the 20th century and the late 1990s. Not only had the stereotypical accountant changed, but so had the public</w:t>
      </w:r>
      <w:r w:rsidR="00B11604">
        <w:t xml:space="preserve"> accounting firm. With its headquarters</w:t>
      </w:r>
      <w:r>
        <w:t xml:space="preserve"> in C</w:t>
      </w:r>
      <w:r w:rsidR="00155B84">
        <w:t>hicago, “Andersen</w:t>
      </w:r>
      <w:r>
        <w:t xml:space="preserve"> embodied Midwestern level-headedness and probity” </w:t>
      </w:r>
      <w:r w:rsidR="005B459A">
        <w:t>[</w:t>
      </w:r>
      <w:r>
        <w:t>Berenson, 2004, p. 113</w:t>
      </w:r>
      <w:r w:rsidR="005B459A">
        <w:t>]</w:t>
      </w:r>
      <w:r>
        <w:t xml:space="preserve">. Repeatedly, writers mention the original Andersen motto “think straight, talk straight”, and </w:t>
      </w:r>
      <w:r w:rsidR="005B459A">
        <w:t xml:space="preserve">quote Arthur Andersen’s reaction to a corporate president who wanted him to endorse </w:t>
      </w:r>
      <w:r w:rsidR="00643B1A">
        <w:t xml:space="preserve">a manipulated financial report. </w:t>
      </w:r>
      <w:r>
        <w:t>Andersen</w:t>
      </w:r>
      <w:r w:rsidR="00643B1A">
        <w:t>’s</w:t>
      </w:r>
      <w:r>
        <w:t xml:space="preserve"> repl</w:t>
      </w:r>
      <w:r w:rsidR="00643B1A">
        <w:t>y was</w:t>
      </w:r>
      <w:r>
        <w:t xml:space="preserve">: “There is not enough money in the city of Chicago to induce me to change the report” </w:t>
      </w:r>
      <w:r w:rsidR="00643B1A">
        <w:t>[</w:t>
      </w:r>
      <w:r>
        <w:t>Squires et al., 2003, p. 32, citing Arthur Andersen &amp; Co., 1974; McLean and Elkind, 2003, p. 144</w:t>
      </w:r>
      <w:r w:rsidR="00643B1A">
        <w:t>]</w:t>
      </w:r>
      <w:r>
        <w:t xml:space="preserve">. Toffler </w:t>
      </w:r>
      <w:r w:rsidR="00643B1A">
        <w:t>[</w:t>
      </w:r>
      <w:r>
        <w:t>2003, p. 15</w:t>
      </w:r>
      <w:r w:rsidR="00643B1A">
        <w:t>]</w:t>
      </w:r>
      <w:r>
        <w:t xml:space="preserve"> and Skeel </w:t>
      </w:r>
      <w:r w:rsidR="00643B1A">
        <w:t>[</w:t>
      </w:r>
      <w:r>
        <w:t>2005, p. 103</w:t>
      </w:r>
      <w:r w:rsidR="00643B1A">
        <w:t>]</w:t>
      </w:r>
      <w:r>
        <w:t xml:space="preserve"> view the </w:t>
      </w:r>
      <w:r w:rsidR="000623DB">
        <w:t xml:space="preserve">collapse of the business of financier Samuel </w:t>
      </w:r>
      <w:r>
        <w:t xml:space="preserve">Insull as the Enron of its day, </w:t>
      </w:r>
      <w:r w:rsidR="000623DB">
        <w:t xml:space="preserve">and </w:t>
      </w:r>
      <w:r>
        <w:t>suggest that Arthur Andersen, as a person of unbending integrity</w:t>
      </w:r>
      <w:r w:rsidR="00643B1A">
        <w:t>,</w:t>
      </w:r>
      <w:r>
        <w:t xml:space="preserve"> would not have been </w:t>
      </w:r>
      <w:r w:rsidR="00643B1A">
        <w:t>seduced</w:t>
      </w:r>
      <w:r>
        <w:t xml:space="preserve"> by temptation at Enron.  Following the death of Arthur Andersen, the firm’s founder “took on a mythical stature” as the firm began to celebrate his life and values </w:t>
      </w:r>
      <w:r w:rsidR="00643B1A">
        <w:t>[</w:t>
      </w:r>
      <w:r>
        <w:t>Squires et al., 2003, p. 37</w:t>
      </w:r>
      <w:r w:rsidR="00643B1A">
        <w:t>]</w:t>
      </w:r>
      <w:r>
        <w:t xml:space="preserve">.  By the 1990s, Andersen’s “new, unstated motto became ‘Make it Work’. … Give the client what he wanted” </w:t>
      </w:r>
      <w:r w:rsidR="00643B1A">
        <w:t>[</w:t>
      </w:r>
      <w:r>
        <w:t>Swartz, 2003, p. 95</w:t>
      </w:r>
      <w:r w:rsidR="00643B1A">
        <w:t>]</w:t>
      </w:r>
      <w:r>
        <w:t>.</w:t>
      </w:r>
    </w:p>
    <w:p w:rsidR="00734B6E" w:rsidRDefault="0041409C" w:rsidP="00734B6E">
      <w:r>
        <w:t xml:space="preserve">Carnegie and Napier </w:t>
      </w:r>
      <w:r w:rsidR="00643B1A">
        <w:t>[</w:t>
      </w:r>
      <w:r>
        <w:t>2010, p. 370</w:t>
      </w:r>
      <w:r w:rsidR="00643B1A">
        <w:t>]</w:t>
      </w:r>
      <w:r>
        <w:t xml:space="preserve"> suggested that t</w:t>
      </w:r>
      <w:r w:rsidR="00734B6E">
        <w:t xml:space="preserve">he authors </w:t>
      </w:r>
      <w:r>
        <w:t xml:space="preserve">are making a rhetorical contrast between “then” and “now”, with an implied “golden age” of </w:t>
      </w:r>
      <w:r w:rsidR="000623DB">
        <w:t xml:space="preserve">ethical </w:t>
      </w:r>
      <w:r>
        <w:t>auditing in the early 20</w:t>
      </w:r>
      <w:r w:rsidR="000623DB">
        <w:t>th</w:t>
      </w:r>
      <w:r>
        <w:t xml:space="preserve"> century being contrasted with a more mercenary age at the beginning of the 21</w:t>
      </w:r>
      <w:r w:rsidR="000623DB">
        <w:t>st</w:t>
      </w:r>
      <w:r>
        <w:t xml:space="preserve"> century. This is particularly evident in the way in which Skeel </w:t>
      </w:r>
      <w:r w:rsidR="00643B1A">
        <w:t>[</w:t>
      </w:r>
      <w:r>
        <w:t>2005, p. 166</w:t>
      </w:r>
      <w:r w:rsidR="00643B1A">
        <w:t>]</w:t>
      </w:r>
      <w:r>
        <w:t xml:space="preserve"> contrasts Arthur E. Andersen’s work on </w:t>
      </w:r>
      <w:r w:rsidR="006C064B">
        <w:t xml:space="preserve">sorting out the collapsed Insull empire in the 1930s with </w:t>
      </w:r>
      <w:r w:rsidR="000623DB">
        <w:t xml:space="preserve">the behaviour of </w:t>
      </w:r>
      <w:r w:rsidR="006C064B">
        <w:t xml:space="preserve">his modern successors: </w:t>
      </w:r>
    </w:p>
    <w:p w:rsidR="00734B6E" w:rsidRDefault="00734B6E" w:rsidP="006C064B">
      <w:pPr>
        <w:pStyle w:val="Indent"/>
      </w:pPr>
      <w:r>
        <w:t xml:space="preserve">The Arthur Andersen who sorted through the wreckage of Samuel Insull’s empire prided himself on unflinching, uncompromising investigation of the companies he audited.  The Arthur Andersen auditors who held their noses and signed off on the Enron and WorldCom financial statements were another breed altogether. </w:t>
      </w:r>
    </w:p>
    <w:p w:rsidR="006C064B" w:rsidRDefault="00734B6E" w:rsidP="006C064B">
      <w:pPr>
        <w:ind w:firstLine="0"/>
      </w:pPr>
      <w:r>
        <w:lastRenderedPageBreak/>
        <w:t xml:space="preserve">Berenson </w:t>
      </w:r>
      <w:r w:rsidR="00643B1A">
        <w:t xml:space="preserve">[2004, p. 119; emphasis in original] </w:t>
      </w:r>
      <w:r>
        <w:t>ma</w:t>
      </w:r>
      <w:r w:rsidR="006C064B">
        <w:t>kes</w:t>
      </w:r>
      <w:r>
        <w:t xml:space="preserve"> a similar contrast in respect to the Big 6 firms as a whole</w:t>
      </w:r>
      <w:r w:rsidR="006C064B">
        <w:t>:</w:t>
      </w:r>
    </w:p>
    <w:p w:rsidR="00734B6E" w:rsidRDefault="00734B6E" w:rsidP="006C064B">
      <w:pPr>
        <w:pStyle w:val="Indent"/>
      </w:pPr>
      <w:r>
        <w:t xml:space="preserve">By the beginning of the 1990s, the Big Six were no longer accounting firms that happened to have consulting units; they were professional services organizations, using audits as a way to sell consulting and tax advice.  . . . They were partnerships in name only.  In reality, they were multinational companies, run from the top down by partners who called themselves chief executives and chairmen, not managing partners.  The change was profound.  Accountants had never lived up to their lofty rhetoric, but before the 1980s they at least had </w:t>
      </w:r>
      <w:r>
        <w:rPr>
          <w:i/>
        </w:rPr>
        <w:t>seen</w:t>
      </w:r>
      <w:r>
        <w:t xml:space="preserve"> themselves as public servants.  No longer.  </w:t>
      </w:r>
    </w:p>
    <w:p w:rsidR="006C064B" w:rsidRDefault="00734B6E" w:rsidP="00CA7918">
      <w:r>
        <w:t>Paradoxically, the more things change, the more they stay the same</w:t>
      </w:r>
      <w:r w:rsidR="006C064B">
        <w:t xml:space="preserve"> – </w:t>
      </w:r>
      <w:r w:rsidR="006C064B" w:rsidRPr="002417ED">
        <w:rPr>
          <w:i/>
        </w:rPr>
        <w:t>plus ça change, plus c’est la même chose</w:t>
      </w:r>
      <w:r>
        <w:t>.</w:t>
      </w:r>
      <w:r w:rsidR="006C064B">
        <w:t xml:space="preserve"> Just as Carnegie and Napier </w:t>
      </w:r>
      <w:r w:rsidR="00643B1A">
        <w:t>[</w:t>
      </w:r>
      <w:r w:rsidR="006C064B">
        <w:t>2010, p. 370</w:t>
      </w:r>
      <w:r w:rsidR="00643B1A">
        <w:t>]</w:t>
      </w:r>
      <w:r w:rsidR="006C064B">
        <w:t xml:space="preserve"> identified a common narrative trope in the histories of Enron and Andersen as “old sins cast a long shadow”, another trope that can be observed is</w:t>
      </w:r>
      <w:r>
        <w:t xml:space="preserve"> “there is nothing new under the sun”</w:t>
      </w:r>
      <w:r w:rsidR="006C064B">
        <w:t>.</w:t>
      </w:r>
      <w:r>
        <w:t xml:space="preserve"> </w:t>
      </w:r>
      <w:r w:rsidR="006C064B">
        <w:t>This trope</w:t>
      </w:r>
      <w:r>
        <w:t xml:space="preserve"> </w:t>
      </w:r>
      <w:r w:rsidR="00090CC8">
        <w:t xml:space="preserve">underpins </w:t>
      </w:r>
      <w:r>
        <w:t xml:space="preserve">the following comments of Skeel </w:t>
      </w:r>
      <w:r w:rsidR="00643B1A">
        <w:t>[</w:t>
      </w:r>
      <w:r>
        <w:t>2005, p. 188</w:t>
      </w:r>
      <w:r w:rsidR="00643B1A">
        <w:t>; emphasis in original]</w:t>
      </w:r>
      <w:r>
        <w:t xml:space="preserve">: </w:t>
      </w:r>
    </w:p>
    <w:p w:rsidR="006C064B" w:rsidRDefault="00734B6E" w:rsidP="006C064B">
      <w:pPr>
        <w:pStyle w:val="Indent"/>
      </w:pPr>
      <w:r>
        <w:t>The most glaring flaw in the current framework – a flaw which is so long-standing that it is almost invariably ignored in proposals for change – is the fact that the company itself decides who its watchers will be</w:t>
      </w:r>
      <w:r w:rsidR="00643B1A">
        <w:t>.</w:t>
      </w:r>
    </w:p>
    <w:p w:rsidR="00090CC8" w:rsidRDefault="00AC094E" w:rsidP="006C064B">
      <w:pPr>
        <w:ind w:firstLine="0"/>
      </w:pPr>
      <w:r>
        <w:t xml:space="preserve">The only </w:t>
      </w:r>
      <w:r w:rsidR="006C064B">
        <w:t xml:space="preserve">way </w:t>
      </w:r>
      <w:r>
        <w:t xml:space="preserve">to address this fundamental flaw, according to Skeel, “would be to take the choice of auditor out of the company’s hands” </w:t>
      </w:r>
      <w:r w:rsidR="00643B1A">
        <w:t>[</w:t>
      </w:r>
      <w:r>
        <w:t>2005, p. 188</w:t>
      </w:r>
      <w:r w:rsidR="00643B1A">
        <w:t>]</w:t>
      </w:r>
      <w:r>
        <w:t>.</w:t>
      </w:r>
      <w:r w:rsidR="00090CC8">
        <w:t xml:space="preserve"> Berenson </w:t>
      </w:r>
      <w:r w:rsidR="00643B1A">
        <w:t>[</w:t>
      </w:r>
      <w:r w:rsidR="00090CC8">
        <w:t>2004, p. 227</w:t>
      </w:r>
      <w:r w:rsidR="00643B1A">
        <w:t>]</w:t>
      </w:r>
      <w:r w:rsidR="00090CC8">
        <w:t xml:space="preserve"> projects a similar sentiment on change in general by entitling his afterword “The more things change”.</w:t>
      </w:r>
    </w:p>
    <w:p w:rsidR="00164E3E" w:rsidRDefault="002965AA" w:rsidP="002417ED">
      <w:r>
        <w:t xml:space="preserve">Squires et al. </w:t>
      </w:r>
      <w:r w:rsidR="00643B1A">
        <w:t>[</w:t>
      </w:r>
      <w:r>
        <w:t>2003, p. 161</w:t>
      </w:r>
      <w:r w:rsidR="00643B1A">
        <w:t>]</w:t>
      </w:r>
      <w:r>
        <w:t xml:space="preserve"> refer to an unspecified point of time in future where the demise of Andersen will be a “footnote in public accounting history”.  This future point in time is likely to be many decades away, if not into the </w:t>
      </w:r>
      <w:r w:rsidR="000623DB">
        <w:t>22nd</w:t>
      </w:r>
      <w:r>
        <w:t xml:space="preserve"> century.  Until that unknown time, the failure of Andersen and the implications of the firm’s failure for the professionali</w:t>
      </w:r>
      <w:r w:rsidR="00643B1A">
        <w:t>z</w:t>
      </w:r>
      <w:r>
        <w:t xml:space="preserve">ation of accounting are likely to remain </w:t>
      </w:r>
      <w:r w:rsidR="000623DB">
        <w:t xml:space="preserve">not a footnote but a substantial </w:t>
      </w:r>
      <w:r>
        <w:t xml:space="preserve">chapter in public accounting history </w:t>
      </w:r>
      <w:r w:rsidR="00643B1A">
        <w:t>[</w:t>
      </w:r>
      <w:r>
        <w:t>Carnegie, 2005</w:t>
      </w:r>
      <w:r w:rsidR="00AF1F7D">
        <w:t>a</w:t>
      </w:r>
      <w:r w:rsidR="00643B1A">
        <w:t>]</w:t>
      </w:r>
      <w:r>
        <w:t>.</w:t>
      </w:r>
    </w:p>
    <w:p w:rsidR="00164E3E" w:rsidRDefault="00164E3E" w:rsidP="002965AA">
      <w:pPr>
        <w:ind w:firstLine="0"/>
      </w:pPr>
    </w:p>
    <w:p w:rsidR="002965AA" w:rsidRDefault="00164E3E" w:rsidP="00CE20A6">
      <w:pPr>
        <w:keepNext/>
        <w:ind w:firstLine="0"/>
      </w:pPr>
      <w:r>
        <w:rPr>
          <w:b/>
        </w:rPr>
        <w:lastRenderedPageBreak/>
        <w:t>Conclusions</w:t>
      </w:r>
      <w:r w:rsidR="002965AA">
        <w:t xml:space="preserve">  </w:t>
      </w:r>
    </w:p>
    <w:p w:rsidR="0033338F" w:rsidRDefault="0033338F" w:rsidP="002417ED">
      <w:r>
        <w:t xml:space="preserve">The authors of books examined in this study draw very little on the </w:t>
      </w:r>
      <w:r w:rsidR="006C064B">
        <w:t xml:space="preserve">academic </w:t>
      </w:r>
      <w:r>
        <w:t>accounting history literature.  Many of them do not even address the historical development of accounting, preferring to focus on the actors and events of “the now”</w:t>
      </w:r>
      <w:r w:rsidR="000623DB">
        <w:t>,</w:t>
      </w:r>
      <w:r>
        <w:t xml:space="preserve"> involving an almost exclusive reliance on press stories and internet sources.  Of the authors who paid some attention to providing a historical background to the calamitous events of the early 2000s, no</w:t>
      </w:r>
      <w:r w:rsidR="00164E3E">
        <w:t>ne</w:t>
      </w:r>
      <w:r>
        <w:t xml:space="preserve"> referred to the vast literature on the sociology of the professions, including the many contributions on the professionali</w:t>
      </w:r>
      <w:r w:rsidR="00643B1A">
        <w:t>z</w:t>
      </w:r>
      <w:r>
        <w:t xml:space="preserve">ation of accounting, or to the literature on critical accounting generally.  </w:t>
      </w:r>
      <w:r w:rsidR="00164E3E">
        <w:t>Various</w:t>
      </w:r>
      <w:r>
        <w:t xml:space="preserve"> general histories on accounting written by US scholars were evidently known to only a small number of these authors, notably Brewster </w:t>
      </w:r>
      <w:r w:rsidR="00643B1A">
        <w:t>[</w:t>
      </w:r>
      <w:r>
        <w:t>2003</w:t>
      </w:r>
      <w:r w:rsidR="00643B1A">
        <w:t>]</w:t>
      </w:r>
      <w:r>
        <w:t xml:space="preserve"> and Berenson </w:t>
      </w:r>
      <w:r w:rsidR="00643B1A">
        <w:t>[</w:t>
      </w:r>
      <w:r>
        <w:t>2004</w:t>
      </w:r>
      <w:r w:rsidR="00643B1A">
        <w:t>]</w:t>
      </w:r>
      <w:r>
        <w:t xml:space="preserve">.  Of these general histories, Previts and Merino </w:t>
      </w:r>
      <w:r w:rsidR="00643B1A">
        <w:t>[</w:t>
      </w:r>
      <w:r>
        <w:t>1998</w:t>
      </w:r>
      <w:r w:rsidR="00643B1A">
        <w:t>]</w:t>
      </w:r>
      <w:r>
        <w:t xml:space="preserve"> seemed to be the most popular for use in providing a potted history of accounting in the US</w:t>
      </w:r>
      <w:r w:rsidR="00CB5447">
        <w:t>A</w:t>
      </w:r>
      <w:r>
        <w:t>.</w:t>
      </w:r>
      <w:r w:rsidR="00164E3E">
        <w:t xml:space="preserve"> It is not surprising that lay historians tend to refer to books rather than scholarly articles, since books such as official or popular histories of the accounting profession and firms are probably accessible in major generalis</w:t>
      </w:r>
      <w:r w:rsidR="000623DB">
        <w:t xml:space="preserve">t libraries. Articles </w:t>
      </w:r>
      <w:r w:rsidR="00164E3E">
        <w:t>may be more accessible than ever before to university-based researchers, thanks to on-line archives offered by journal publishers and organ</w:t>
      </w:r>
      <w:r w:rsidR="00DF7C8D">
        <w:t>ization</w:t>
      </w:r>
      <w:r w:rsidR="00164E3E">
        <w:t>s such as JSTOR (</w:t>
      </w:r>
      <w:hyperlink r:id="rId12" w:history="1">
        <w:r w:rsidR="00164E3E" w:rsidRPr="00627FC0">
          <w:rPr>
            <w:rStyle w:val="Hyperlink"/>
          </w:rPr>
          <w:t>www.jstor.org</w:t>
        </w:r>
      </w:hyperlink>
      <w:r w:rsidR="00164E3E">
        <w:t xml:space="preserve">), but </w:t>
      </w:r>
      <w:r w:rsidR="000623DB">
        <w:t xml:space="preserve">they </w:t>
      </w:r>
      <w:r w:rsidR="00164E3E">
        <w:t xml:space="preserve">are </w:t>
      </w:r>
      <w:r w:rsidR="000623DB">
        <w:t xml:space="preserve">difficult and </w:t>
      </w:r>
      <w:r w:rsidR="00164E3E">
        <w:t>expensive to access by those outside the academy.</w:t>
      </w:r>
    </w:p>
    <w:p w:rsidR="002A576F" w:rsidRDefault="00164E3E" w:rsidP="002A576F">
      <w:r>
        <w:t xml:space="preserve">The popular histories of accounting reviewed in this paper are usually well-written and a pleasure to read, and it is clear that some of the authors have attempted to </w:t>
      </w:r>
      <w:r w:rsidR="002A576F">
        <w:t xml:space="preserve">base their writings at least on secondary sources grounded in extensive scholarly research. </w:t>
      </w:r>
      <w:r w:rsidR="000623DB">
        <w:t xml:space="preserve">Some books </w:t>
      </w:r>
      <w:r w:rsidR="002A576F">
        <w:t xml:space="preserve">cover long periods of time using broad narrative story-telling, combined with focus on specific details that cast the overall story into perspective. These are the characteristics that we have already identified as generic to popular history. </w:t>
      </w:r>
      <w:r w:rsidR="002A576F">
        <w:lastRenderedPageBreak/>
        <w:t>Emphas</w:t>
      </w:r>
      <w:r w:rsidR="00DF7C8D">
        <w:t>izing</w:t>
      </w:r>
      <w:r w:rsidR="002A576F">
        <w:t xml:space="preserve"> key characters such as Pacioli and Andersen humani</w:t>
      </w:r>
      <w:r w:rsidR="00643B1A">
        <w:t>z</w:t>
      </w:r>
      <w:r w:rsidR="002A576F">
        <w:t xml:space="preserve">es the narratives, but paradoxically makes the “popular histories” more like “elite histories” of “great men of the past”. Popular histories tend to stress “agency” over “structure”, and popular histories of accounting are no exception. Some of the books provide appropriate references for their sources but others do not, so it is difficult to tell whether authors are aware of scholarly </w:t>
      </w:r>
      <w:r w:rsidR="005A5A70">
        <w:t>material</w:t>
      </w:r>
      <w:r w:rsidR="002A576F">
        <w:t xml:space="preserve"> but have chosen to ignore </w:t>
      </w:r>
      <w:r w:rsidR="005A5A70">
        <w:t>it</w:t>
      </w:r>
      <w:r w:rsidR="002A576F">
        <w:t>, or whether they are simply</w:t>
      </w:r>
      <w:r w:rsidR="0033338F">
        <w:t xml:space="preserve"> not aware of the available scholarly literature on accounting’s past. Berenson </w:t>
      </w:r>
      <w:r w:rsidR="00643B1A">
        <w:t>[</w:t>
      </w:r>
      <w:r w:rsidR="0033338F">
        <w:t>2004</w:t>
      </w:r>
      <w:r w:rsidR="00643B1A">
        <w:t>]</w:t>
      </w:r>
      <w:r w:rsidR="0033338F">
        <w:t xml:space="preserve"> at least, by his own admission, appears to fall in the latter category. Curiously, however, Berenson and Toffler are cited</w:t>
      </w:r>
      <w:r w:rsidR="00945717">
        <w:t xml:space="preserve"> </w:t>
      </w:r>
      <w:r w:rsidR="0033338F">
        <w:t xml:space="preserve">by Staubus </w:t>
      </w:r>
      <w:r w:rsidR="00643B1A">
        <w:t>[</w:t>
      </w:r>
      <w:r w:rsidR="0033338F">
        <w:t>2005</w:t>
      </w:r>
      <w:r w:rsidR="00643B1A">
        <w:t>]</w:t>
      </w:r>
      <w:r w:rsidR="0033338F">
        <w:t xml:space="preserve"> in a critical analysis of ethical failures in corporate financial reporting in the US</w:t>
      </w:r>
      <w:r w:rsidR="00CB5447">
        <w:t>A</w:t>
      </w:r>
      <w:r w:rsidR="0033338F">
        <w:t xml:space="preserve">.  </w:t>
      </w:r>
      <w:r w:rsidR="002A576F">
        <w:t>P</w:t>
      </w:r>
      <w:r w:rsidR="0033338F">
        <w:t xml:space="preserve">rominent </w:t>
      </w:r>
      <w:r w:rsidR="002A576F">
        <w:t>reference to</w:t>
      </w:r>
      <w:r w:rsidR="0033338F">
        <w:t xml:space="preserve"> these commercial books within the scholarly literature may </w:t>
      </w:r>
      <w:r w:rsidR="002A576F">
        <w:t>imply</w:t>
      </w:r>
      <w:r w:rsidR="0033338F">
        <w:t xml:space="preserve"> an importance </w:t>
      </w:r>
      <w:r w:rsidR="002A576F">
        <w:t xml:space="preserve">and authority going </w:t>
      </w:r>
      <w:r w:rsidR="0033338F">
        <w:t xml:space="preserve">beyond the depth of historical research </w:t>
      </w:r>
      <w:r w:rsidR="002A576F">
        <w:t>that</w:t>
      </w:r>
      <w:r w:rsidR="0033338F">
        <w:t xml:space="preserve"> typically underpins them.  On the other hand, this illustration may signify a possible trend towards what we call “convenient accounting history”, thereby offering benefits to commercial authors that are likely to </w:t>
      </w:r>
      <w:r w:rsidR="00643B1A">
        <w:t>exceed</w:t>
      </w:r>
      <w:r w:rsidR="0033338F">
        <w:t xml:space="preserve"> their </w:t>
      </w:r>
      <w:r w:rsidR="00945717">
        <w:t xml:space="preserve">initial </w:t>
      </w:r>
      <w:r w:rsidR="0033338F">
        <w:t>expectations in writing the books.</w:t>
      </w:r>
    </w:p>
    <w:p w:rsidR="002A576F" w:rsidRDefault="002A576F" w:rsidP="002A576F">
      <w:r>
        <w:t xml:space="preserve">What are the lessons for accounting historians? </w:t>
      </w:r>
      <w:r w:rsidR="00CD01BD">
        <w:t>The most important is that there is a demand for popular history, and if accounting historians do not respond to this demand, th</w:t>
      </w:r>
      <w:r w:rsidR="005A5A70">
        <w:t>en the void will be filled by</w:t>
      </w:r>
      <w:r w:rsidR="00CD01BD">
        <w:t xml:space="preserve"> journalists, mouthpieces of firms and professional bodies, and “amateur historians”. All of these may do a good job of propounding the standard narrative: “Luca Pacioli to Arthur Andersen in one quick leap”. But they are likely to lack the depth of knowledge and critical appreciation that a specialist historian of accounting will bring to the exposition of history. However, such specialists must be aware that different media demand different styles of exposition. As Champion </w:t>
      </w:r>
      <w:r w:rsidR="00643B1A">
        <w:t>[</w:t>
      </w:r>
      <w:r w:rsidR="00CD01BD">
        <w:t>2003, p. 167</w:t>
      </w:r>
      <w:r w:rsidR="00643B1A">
        <w:t>]</w:t>
      </w:r>
      <w:r w:rsidR="00CD01BD">
        <w:t xml:space="preserve"> notes: “If there is too much detail the </w:t>
      </w:r>
      <w:r w:rsidR="00CD01BD">
        <w:lastRenderedPageBreak/>
        <w:t xml:space="preserve">programme becomes too dense for the audience to engage with. Oftentimes this sort of scholarly density is exactly what academic historians aim at: it is profoundly out of kilter with the requirements of televisual production.” </w:t>
      </w:r>
      <w:r w:rsidR="00CC5D1E">
        <w:t>It is painful for scholars to have to digest decades of learning into a few hundred words, but this may be necessary for communicating aspects of accounting’s history to a wider audience.</w:t>
      </w:r>
      <w:r w:rsidR="00CC5D1E">
        <w:rPr>
          <w:rStyle w:val="FootnoteReference"/>
        </w:rPr>
        <w:footnoteReference w:id="10"/>
      </w:r>
      <w:r w:rsidR="00CC5D1E">
        <w:t xml:space="preserve"> Opportunities to contribute to different media should not be shunned – it is gratifying that several academic historians of accounting participated in the BBC Radio 4 series </w:t>
      </w:r>
      <w:r w:rsidR="00CC5D1E">
        <w:rPr>
          <w:i/>
        </w:rPr>
        <w:t>A Brief History of Double-Entry Bookkeeping</w:t>
      </w:r>
      <w:r w:rsidR="00CC5D1E">
        <w:t xml:space="preserve"> produced by Jolyon Jenkins in 2010. An accounting academic who is often able to bring historical aspects of accounting’s development to a wider audience is Prem Sikka, who regularly contributes on-line to </w:t>
      </w:r>
      <w:r w:rsidR="00CC5D1E">
        <w:rPr>
          <w:i/>
        </w:rPr>
        <w:t>The Guardian</w:t>
      </w:r>
      <w:r w:rsidR="00CC5D1E" w:rsidRPr="005A5A70">
        <w:t>’s</w:t>
      </w:r>
      <w:r w:rsidR="00CC5D1E">
        <w:t xml:space="preserve"> “Comment is Free” web-site</w:t>
      </w:r>
      <w:r w:rsidR="008242E1">
        <w:t xml:space="preserve"> </w:t>
      </w:r>
      <w:r w:rsidR="00643B1A">
        <w:t>[</w:t>
      </w:r>
      <w:r w:rsidR="008242E1">
        <w:t>Sikka, 2008</w:t>
      </w:r>
      <w:r w:rsidR="00643B1A">
        <w:t>]</w:t>
      </w:r>
      <w:r w:rsidR="008242E1">
        <w:t>.</w:t>
      </w:r>
    </w:p>
    <w:p w:rsidR="008242E1" w:rsidRPr="008242E1" w:rsidRDefault="008242E1" w:rsidP="002A576F">
      <w:r>
        <w:t>In several countries, the reward structure for academics tends to give little if any credit to popular engagement, with those who write for newspapers and magazines or appear on the radio or television (to say nothing of those who are active users of the internet and social media) often accused of “dumbing down” at the same time as “making a show of themselves”. Academic historians of accounting are certainly not immune from such pressures. However, universities are also increasingly recogni</w:t>
      </w:r>
      <w:r w:rsidR="00643B1A">
        <w:t>z</w:t>
      </w:r>
      <w:r>
        <w:t xml:space="preserve">ing the efforts of their academic staff to engage with the public more broadly. </w:t>
      </w:r>
      <w:r w:rsidR="00240F27">
        <w:t xml:space="preserve">As Cole </w:t>
      </w:r>
      <w:r w:rsidR="00643B1A">
        <w:t>[</w:t>
      </w:r>
      <w:r w:rsidR="00240F27">
        <w:t>2012</w:t>
      </w:r>
      <w:r w:rsidR="00643B1A">
        <w:t>]</w:t>
      </w:r>
      <w:r w:rsidR="00240F27">
        <w:t xml:space="preserve"> notes, “much important and fascinating research is unavailable to the public simply because the discoverers lack the will or the talent to reach beyond their familiar circle.” </w:t>
      </w:r>
      <w:r>
        <w:t xml:space="preserve">The books that we have studied in this paper show that there </w:t>
      </w:r>
      <w:r>
        <w:rPr>
          <w:i/>
        </w:rPr>
        <w:t>is</w:t>
      </w:r>
      <w:r>
        <w:t xml:space="preserve"> a public interest in accounting and its history – it is up to the growing number of </w:t>
      </w:r>
      <w:r>
        <w:lastRenderedPageBreak/>
        <w:t>researchers speciali</w:t>
      </w:r>
      <w:r w:rsidR="00A17E2D">
        <w:t>z</w:t>
      </w:r>
      <w:r>
        <w:t xml:space="preserve">ing in the history of accounting to take on the challenge of disseminating our findings </w:t>
      </w:r>
      <w:r w:rsidR="00214837">
        <w:t>not just in scholarly articles but to a broad public audience.</w:t>
      </w:r>
    </w:p>
    <w:p w:rsidR="0033338F" w:rsidRDefault="0033338F" w:rsidP="002A576F"/>
    <w:p w:rsidR="00305DEC" w:rsidRDefault="005E10DE" w:rsidP="009D5B72">
      <w:pPr>
        <w:keepNext/>
        <w:ind w:firstLine="0"/>
        <w:rPr>
          <w:b/>
        </w:rPr>
      </w:pPr>
      <w:r>
        <w:rPr>
          <w:b/>
        </w:rPr>
        <w:t>References</w:t>
      </w:r>
    </w:p>
    <w:p w:rsidR="00D86989" w:rsidRDefault="00D86989" w:rsidP="00D86989">
      <w:pPr>
        <w:pStyle w:val="Reference"/>
        <w:spacing w:line="240" w:lineRule="auto"/>
        <w:ind w:left="0" w:firstLine="0"/>
      </w:pPr>
      <w:r>
        <w:t xml:space="preserve">Arnold, A. J. and McCartney, S. (2003), “‘It may be Earlier than you Think’: Evidence, Myth and Informed Debate in Accounting History”, </w:t>
      </w:r>
      <w:r>
        <w:rPr>
          <w:i/>
        </w:rPr>
        <w:t>Critical Perspectives on Accounting</w:t>
      </w:r>
      <w:r>
        <w:t>, Vol. 14, No. 3</w:t>
      </w:r>
      <w:r w:rsidR="00A17E2D">
        <w:t>:</w:t>
      </w:r>
      <w:r>
        <w:t xml:space="preserve"> 227-253.</w:t>
      </w:r>
    </w:p>
    <w:p w:rsidR="00D86989" w:rsidRDefault="00D86989" w:rsidP="00D86989">
      <w:pPr>
        <w:pStyle w:val="Reference"/>
        <w:spacing w:line="240" w:lineRule="auto"/>
        <w:ind w:left="0" w:firstLine="0"/>
      </w:pPr>
    </w:p>
    <w:p w:rsidR="00A8455F" w:rsidRPr="00A8455F" w:rsidRDefault="00A8455F" w:rsidP="00A8455F">
      <w:pPr>
        <w:pStyle w:val="Reference"/>
        <w:spacing w:line="240" w:lineRule="auto"/>
        <w:ind w:left="0" w:firstLine="0"/>
      </w:pPr>
      <w:r>
        <w:t xml:space="preserve">Arthur Andersen &amp; Co. (1970), </w:t>
      </w:r>
      <w:r>
        <w:rPr>
          <w:i/>
        </w:rPr>
        <w:t>Behind the Figures: Addresses and Articles by Arthur Andersen, 1913-1941</w:t>
      </w:r>
      <w:r>
        <w:t xml:space="preserve"> (Chicago: Arthur Andersen).</w:t>
      </w:r>
    </w:p>
    <w:p w:rsidR="00A8455F" w:rsidRDefault="00A8455F" w:rsidP="00D86989">
      <w:pPr>
        <w:pStyle w:val="Reference"/>
        <w:spacing w:line="240" w:lineRule="auto"/>
        <w:ind w:left="0" w:firstLine="0"/>
      </w:pPr>
    </w:p>
    <w:p w:rsidR="00381E0A" w:rsidRDefault="00381E0A" w:rsidP="00381E0A">
      <w:pPr>
        <w:pStyle w:val="Reference"/>
        <w:spacing w:line="240" w:lineRule="auto"/>
        <w:ind w:left="0" w:firstLine="0"/>
      </w:pPr>
      <w:r>
        <w:t>Art</w:t>
      </w:r>
      <w:r w:rsidR="00672FBC">
        <w:t xml:space="preserve">hur Andersen &amp; Co. (ed.) (1974), </w:t>
      </w:r>
      <w:r>
        <w:rPr>
          <w:i/>
        </w:rPr>
        <w:t>The First Sixty Years: 1913-1973</w:t>
      </w:r>
      <w:r>
        <w:t xml:space="preserve"> (Chicago: Arthur Andersen).</w:t>
      </w:r>
    </w:p>
    <w:p w:rsidR="00A8455F" w:rsidRDefault="00A8455F" w:rsidP="00381E0A">
      <w:pPr>
        <w:pStyle w:val="Reference"/>
        <w:spacing w:line="240" w:lineRule="auto"/>
        <w:ind w:left="0" w:firstLine="0"/>
      </w:pPr>
    </w:p>
    <w:p w:rsidR="00EE4BF1" w:rsidRDefault="00EE4BF1" w:rsidP="00EE4BF1">
      <w:pPr>
        <w:pStyle w:val="Reference"/>
        <w:spacing w:line="240" w:lineRule="auto"/>
        <w:ind w:left="0" w:firstLine="0"/>
      </w:pPr>
      <w:r>
        <w:t xml:space="preserve">Arthur Andersen &amp; Co., S.C. (1988), </w:t>
      </w:r>
      <w:r>
        <w:rPr>
          <w:i/>
        </w:rPr>
        <w:t>A Vision of Grandeur</w:t>
      </w:r>
      <w:r>
        <w:t xml:space="preserve"> (Chicago: Arthur Andersen).</w:t>
      </w:r>
    </w:p>
    <w:p w:rsidR="009B69B1" w:rsidRDefault="009B69B1" w:rsidP="00EE4BF1">
      <w:pPr>
        <w:pStyle w:val="Reference"/>
        <w:spacing w:line="240" w:lineRule="auto"/>
        <w:ind w:left="0" w:firstLine="0"/>
      </w:pPr>
    </w:p>
    <w:p w:rsidR="00740E0A" w:rsidRPr="00DF7C8D" w:rsidRDefault="00740E0A" w:rsidP="00EE4BF1">
      <w:pPr>
        <w:pStyle w:val="Reference"/>
        <w:spacing w:line="240" w:lineRule="auto"/>
        <w:ind w:left="0" w:firstLine="0"/>
      </w:pPr>
      <w:r>
        <w:t xml:space="preserve">Beck, P. J. (2011), </w:t>
      </w:r>
      <w:r>
        <w:rPr>
          <w:i/>
        </w:rPr>
        <w:t>Presenting History: Past and Present</w:t>
      </w:r>
      <w:r>
        <w:t xml:space="preserve"> (Basingstoke: Palgrave Macmillan).</w:t>
      </w:r>
    </w:p>
    <w:p w:rsidR="00740E0A" w:rsidRDefault="00740E0A" w:rsidP="00EE4BF1">
      <w:pPr>
        <w:pStyle w:val="Reference"/>
        <w:spacing w:line="240" w:lineRule="auto"/>
        <w:ind w:left="0" w:firstLine="0"/>
      </w:pPr>
    </w:p>
    <w:p w:rsidR="009B69B1" w:rsidRPr="009B69B1" w:rsidRDefault="009B69B1" w:rsidP="00EE4BF1">
      <w:pPr>
        <w:pStyle w:val="Reference"/>
        <w:spacing w:line="240" w:lineRule="auto"/>
        <w:ind w:left="0" w:firstLine="0"/>
      </w:pPr>
      <w:r>
        <w:t xml:space="preserve">Bell, E. and Gray, A. (2007), “History on Television: Charisma, Narrative and Knowledge”, </w:t>
      </w:r>
      <w:r>
        <w:rPr>
          <w:i/>
        </w:rPr>
        <w:t>European Journal of Cultural Studies</w:t>
      </w:r>
      <w:r>
        <w:t>, Vol. 10, No. 1</w:t>
      </w:r>
      <w:r w:rsidR="00A17E2D">
        <w:t>:</w:t>
      </w:r>
      <w:r>
        <w:t xml:space="preserve"> 113-133.</w:t>
      </w:r>
    </w:p>
    <w:p w:rsidR="00EE4BF1" w:rsidRDefault="00EE4BF1" w:rsidP="00381E0A">
      <w:pPr>
        <w:pStyle w:val="Reference"/>
        <w:spacing w:line="240" w:lineRule="auto"/>
        <w:ind w:left="0" w:firstLine="0"/>
      </w:pPr>
    </w:p>
    <w:p w:rsidR="00277C85" w:rsidRDefault="003452E2" w:rsidP="00277C85">
      <w:pPr>
        <w:spacing w:line="240" w:lineRule="auto"/>
        <w:ind w:firstLine="0"/>
      </w:pPr>
      <w:r>
        <w:t>Berenson, A.</w:t>
      </w:r>
      <w:r w:rsidR="00277C85" w:rsidRPr="00277C85">
        <w:t xml:space="preserve"> (2004), </w:t>
      </w:r>
      <w:r w:rsidR="00277C85" w:rsidRPr="00277C85">
        <w:rPr>
          <w:i/>
        </w:rPr>
        <w:t>The Number: How America’s Balance Sheet Lies Rocked the Nation</w:t>
      </w:r>
      <w:r w:rsidR="00277C85" w:rsidRPr="00277C85">
        <w:t xml:space="preserve"> </w:t>
      </w:r>
      <w:r w:rsidR="00277C85">
        <w:t xml:space="preserve">(London: Pocket Books). </w:t>
      </w:r>
    </w:p>
    <w:p w:rsidR="0020772E" w:rsidRDefault="0020772E" w:rsidP="0020772E">
      <w:pPr>
        <w:pStyle w:val="Reference"/>
        <w:spacing w:line="240" w:lineRule="auto"/>
        <w:ind w:left="0" w:firstLine="0"/>
      </w:pPr>
    </w:p>
    <w:p w:rsidR="0020772E" w:rsidRDefault="003452E2" w:rsidP="0020772E">
      <w:pPr>
        <w:pStyle w:val="Reference"/>
        <w:spacing w:line="240" w:lineRule="auto"/>
        <w:ind w:left="0" w:firstLine="0"/>
      </w:pPr>
      <w:r>
        <w:t>Brewster, N. (2003),</w:t>
      </w:r>
      <w:r w:rsidR="0020772E" w:rsidRPr="009D4B18">
        <w:t xml:space="preserve"> </w:t>
      </w:r>
      <w:r w:rsidR="0020772E">
        <w:rPr>
          <w:i/>
        </w:rPr>
        <w:t>Unaccountable: How the Accounting Profession Forfeited a Public T</w:t>
      </w:r>
      <w:r w:rsidR="0020772E" w:rsidRPr="00C37A98">
        <w:rPr>
          <w:i/>
        </w:rPr>
        <w:t>rust</w:t>
      </w:r>
      <w:r w:rsidR="00053F99">
        <w:t xml:space="preserve"> (</w:t>
      </w:r>
      <w:r w:rsidR="0020772E">
        <w:t xml:space="preserve">Hoboken: </w:t>
      </w:r>
      <w:r w:rsidR="0020772E" w:rsidRPr="009D4B18">
        <w:t>John Wiley</w:t>
      </w:r>
      <w:r w:rsidR="00053F99">
        <w:t>)</w:t>
      </w:r>
      <w:r w:rsidR="0020772E">
        <w:t>.</w:t>
      </w:r>
    </w:p>
    <w:p w:rsidR="00BB08C8" w:rsidRDefault="00BB08C8" w:rsidP="0020772E">
      <w:pPr>
        <w:pStyle w:val="Reference"/>
        <w:spacing w:line="240" w:lineRule="auto"/>
        <w:ind w:left="0" w:firstLine="0"/>
      </w:pPr>
    </w:p>
    <w:p w:rsidR="00A811E5" w:rsidRDefault="003452E2" w:rsidP="00A811E5">
      <w:pPr>
        <w:pStyle w:val="Reference"/>
        <w:spacing w:line="240" w:lineRule="auto"/>
        <w:ind w:left="0" w:firstLine="0"/>
      </w:pPr>
      <w:r>
        <w:t>Bryce, R. (2003),</w:t>
      </w:r>
      <w:r w:rsidR="00597F10">
        <w:t xml:space="preserve"> </w:t>
      </w:r>
      <w:r w:rsidR="00A811E5">
        <w:rPr>
          <w:i/>
        </w:rPr>
        <w:t>Pipe Dreams: Greed, Ego, and the Death of Enron</w:t>
      </w:r>
      <w:r w:rsidR="00A811E5">
        <w:t xml:space="preserve"> (New York: Public Affairs).</w:t>
      </w:r>
    </w:p>
    <w:p w:rsidR="007A2667" w:rsidRDefault="007A2667" w:rsidP="00A811E5">
      <w:pPr>
        <w:pStyle w:val="Reference"/>
        <w:spacing w:line="240" w:lineRule="auto"/>
        <w:ind w:left="0" w:firstLine="0"/>
      </w:pPr>
    </w:p>
    <w:p w:rsidR="007A2667" w:rsidRPr="00DF7C8D" w:rsidRDefault="007A2667" w:rsidP="00A811E5">
      <w:pPr>
        <w:pStyle w:val="Reference"/>
        <w:spacing w:line="240" w:lineRule="auto"/>
        <w:ind w:left="0" w:firstLine="0"/>
      </w:pPr>
      <w:r>
        <w:t xml:space="preserve">Cannadine, D. (2008), </w:t>
      </w:r>
      <w:r>
        <w:rPr>
          <w:i/>
        </w:rPr>
        <w:t>Making History Now and Then: Discoveries, Controversies and Explanations</w:t>
      </w:r>
      <w:r>
        <w:t xml:space="preserve"> (Basingstoke: Palgrave Macmillan).</w:t>
      </w:r>
    </w:p>
    <w:p w:rsidR="004A0787" w:rsidRDefault="004A0787" w:rsidP="00A811E5">
      <w:pPr>
        <w:pStyle w:val="Reference"/>
        <w:spacing w:line="240" w:lineRule="auto"/>
        <w:ind w:left="0" w:firstLine="0"/>
      </w:pPr>
    </w:p>
    <w:p w:rsidR="004A0787" w:rsidRPr="004A0787" w:rsidRDefault="004A0787" w:rsidP="00A811E5">
      <w:pPr>
        <w:pStyle w:val="Reference"/>
        <w:spacing w:line="240" w:lineRule="auto"/>
        <w:ind w:left="0" w:firstLine="0"/>
      </w:pPr>
      <w:r>
        <w:t xml:space="preserve">Cannadine, D., Keating, J. and Sheldon, N. (2011), </w:t>
      </w:r>
      <w:r>
        <w:rPr>
          <w:i/>
        </w:rPr>
        <w:t>The Right Kind of History: Teaching the Past in Twentieth-Century England</w:t>
      </w:r>
      <w:r>
        <w:t xml:space="preserve"> </w:t>
      </w:r>
      <w:r w:rsidR="00C10D58">
        <w:t>(Basingstoke: Palgrave Macmillan).</w:t>
      </w:r>
    </w:p>
    <w:p w:rsidR="00FE2C7E" w:rsidRDefault="00FE2C7E" w:rsidP="00A811E5">
      <w:pPr>
        <w:pStyle w:val="Reference"/>
        <w:spacing w:line="240" w:lineRule="auto"/>
        <w:ind w:left="0" w:firstLine="0"/>
      </w:pPr>
    </w:p>
    <w:p w:rsidR="00617141" w:rsidRDefault="00FE2C7E" w:rsidP="00A811E5">
      <w:pPr>
        <w:pStyle w:val="Reference"/>
        <w:spacing w:line="240" w:lineRule="auto"/>
        <w:ind w:left="0" w:firstLine="0"/>
      </w:pPr>
      <w:r>
        <w:t xml:space="preserve">Carey, </w:t>
      </w:r>
      <w:r w:rsidR="00617141">
        <w:t xml:space="preserve">J. </w:t>
      </w:r>
      <w:r>
        <w:t>(19</w:t>
      </w:r>
      <w:r w:rsidR="00617141">
        <w:t>69</w:t>
      </w:r>
      <w:r>
        <w:t xml:space="preserve">), </w:t>
      </w:r>
      <w:r w:rsidR="00617141">
        <w:rPr>
          <w:i/>
        </w:rPr>
        <w:t>The Rise of the Accounting Profession</w:t>
      </w:r>
      <w:r w:rsidR="00617141">
        <w:t>, Vol. 1 (New York: AICPA).</w:t>
      </w:r>
    </w:p>
    <w:p w:rsidR="00617141" w:rsidRDefault="00617141" w:rsidP="00A811E5">
      <w:pPr>
        <w:pStyle w:val="Reference"/>
        <w:spacing w:line="240" w:lineRule="auto"/>
        <w:ind w:left="0" w:firstLine="0"/>
      </w:pPr>
    </w:p>
    <w:p w:rsidR="00FE2C7E" w:rsidRPr="00617141" w:rsidRDefault="00617141" w:rsidP="00A811E5">
      <w:pPr>
        <w:pStyle w:val="Reference"/>
        <w:spacing w:line="240" w:lineRule="auto"/>
        <w:ind w:left="0" w:firstLine="0"/>
      </w:pPr>
      <w:r>
        <w:t xml:space="preserve">Carey, J. (1970), </w:t>
      </w:r>
      <w:r>
        <w:rPr>
          <w:i/>
        </w:rPr>
        <w:t>The Rise of the Accounting Profession</w:t>
      </w:r>
      <w:r>
        <w:t>, Vol. 2 (New York: AICPA).</w:t>
      </w:r>
    </w:p>
    <w:p w:rsidR="00597F10" w:rsidRDefault="00597F10" w:rsidP="00A811E5">
      <w:pPr>
        <w:pStyle w:val="Reference"/>
        <w:spacing w:line="240" w:lineRule="auto"/>
        <w:ind w:left="0" w:firstLine="0"/>
      </w:pPr>
    </w:p>
    <w:p w:rsidR="00597F10" w:rsidRDefault="00597F10" w:rsidP="00A811E5">
      <w:pPr>
        <w:pStyle w:val="Reference"/>
        <w:spacing w:line="240" w:lineRule="auto"/>
        <w:ind w:left="0" w:firstLine="0"/>
      </w:pPr>
      <w:r>
        <w:t>Carnegie, G. D. (2005</w:t>
      </w:r>
      <w:r w:rsidR="007514F1">
        <w:t>a</w:t>
      </w:r>
      <w:r>
        <w:t xml:space="preserve">), Book review of Squires et al., </w:t>
      </w:r>
      <w:r w:rsidRPr="00597F10">
        <w:rPr>
          <w:i/>
        </w:rPr>
        <w:t>Inside Arthur Andersen: Shifting Values, Unexpected Consequence</w:t>
      </w:r>
      <w:r>
        <w:t xml:space="preserve">, </w:t>
      </w:r>
      <w:r w:rsidRPr="00597F10">
        <w:rPr>
          <w:i/>
        </w:rPr>
        <w:t>Accounting History</w:t>
      </w:r>
      <w:r>
        <w:t>, Vol. 10, No. 3</w:t>
      </w:r>
      <w:r w:rsidR="00A17E2D">
        <w:t>:</w:t>
      </w:r>
      <w:r>
        <w:t xml:space="preserve"> </w:t>
      </w:r>
      <w:r w:rsidR="005A5A70">
        <w:t>1</w:t>
      </w:r>
      <w:r w:rsidR="007514F1">
        <w:t>21-123</w:t>
      </w:r>
      <w:r>
        <w:t>.</w:t>
      </w:r>
    </w:p>
    <w:p w:rsidR="007514F1" w:rsidRDefault="007514F1" w:rsidP="00A811E5">
      <w:pPr>
        <w:pStyle w:val="Reference"/>
        <w:spacing w:line="240" w:lineRule="auto"/>
        <w:ind w:left="0" w:firstLine="0"/>
      </w:pPr>
    </w:p>
    <w:p w:rsidR="007514F1" w:rsidRPr="00EF6911" w:rsidRDefault="007514F1" w:rsidP="00A811E5">
      <w:pPr>
        <w:pStyle w:val="Reference"/>
        <w:spacing w:line="240" w:lineRule="auto"/>
        <w:ind w:left="0" w:firstLine="0"/>
      </w:pPr>
      <w:r>
        <w:lastRenderedPageBreak/>
        <w:t xml:space="preserve">Carnegie, G. D. (2005b), Book review of Brewster, </w:t>
      </w:r>
      <w:r w:rsidRPr="007514F1">
        <w:rPr>
          <w:i/>
        </w:rPr>
        <w:t>Unaccountable:</w:t>
      </w:r>
      <w:r>
        <w:t xml:space="preserve"> </w:t>
      </w:r>
      <w:r>
        <w:rPr>
          <w:i/>
        </w:rPr>
        <w:t>How the Accounting Profession Forfeited a Public T</w:t>
      </w:r>
      <w:r w:rsidRPr="00C37A98">
        <w:rPr>
          <w:i/>
        </w:rPr>
        <w:t>rust</w:t>
      </w:r>
      <w:r>
        <w:t xml:space="preserve">, </w:t>
      </w:r>
      <w:r w:rsidRPr="007514F1">
        <w:rPr>
          <w:i/>
        </w:rPr>
        <w:t>Accounting History</w:t>
      </w:r>
      <w:r>
        <w:t>, Vol.10, No. 1</w:t>
      </w:r>
      <w:r w:rsidR="00A17E2D">
        <w:t>:</w:t>
      </w:r>
      <w:r>
        <w:t xml:space="preserve"> 129-132.</w:t>
      </w:r>
    </w:p>
    <w:p w:rsidR="00A811E5" w:rsidRPr="00277C85" w:rsidRDefault="00A811E5" w:rsidP="00277C85">
      <w:pPr>
        <w:spacing w:line="240" w:lineRule="auto"/>
        <w:ind w:firstLine="0"/>
      </w:pPr>
    </w:p>
    <w:p w:rsidR="006E0299" w:rsidRDefault="003452E2" w:rsidP="006E0299">
      <w:pPr>
        <w:spacing w:line="240" w:lineRule="auto"/>
        <w:ind w:firstLine="0"/>
      </w:pPr>
      <w:r>
        <w:t>Carnegie, G. D.</w:t>
      </w:r>
      <w:r w:rsidR="006E0299">
        <w:t xml:space="preserve"> (2006), “</w:t>
      </w:r>
      <w:r w:rsidR="00672FBC">
        <w:t>‘</w:t>
      </w:r>
      <w:r w:rsidR="006E0299">
        <w:t xml:space="preserve">The Roaring Nineties’: A Comment on the State of Accounting History in the United States”, </w:t>
      </w:r>
      <w:r w:rsidR="006E0299" w:rsidRPr="006E0299">
        <w:rPr>
          <w:i/>
        </w:rPr>
        <w:t>Accounting Historians Journal</w:t>
      </w:r>
      <w:r w:rsidR="006E0299">
        <w:t>, Vol. 33, No. 1</w:t>
      </w:r>
      <w:r w:rsidR="00A17E2D">
        <w:t>:</w:t>
      </w:r>
      <w:r w:rsidR="006E0299">
        <w:t xml:space="preserve"> 203-210. </w:t>
      </w:r>
    </w:p>
    <w:p w:rsidR="00AA770C" w:rsidRDefault="00AA770C" w:rsidP="006E0299">
      <w:pPr>
        <w:spacing w:line="240" w:lineRule="auto"/>
        <w:ind w:firstLine="0"/>
      </w:pPr>
    </w:p>
    <w:p w:rsidR="00AA770C" w:rsidRDefault="00AA770C" w:rsidP="00AA770C">
      <w:pPr>
        <w:pStyle w:val="Reference"/>
        <w:spacing w:line="240" w:lineRule="auto"/>
        <w:ind w:left="0" w:firstLine="0"/>
      </w:pPr>
      <w:r w:rsidRPr="003452E2">
        <w:rPr>
          <w:lang w:val="en-AU"/>
        </w:rPr>
        <w:t>Carnegie,</w:t>
      </w:r>
      <w:r w:rsidR="00050DA9">
        <w:rPr>
          <w:lang w:val="en-AU"/>
        </w:rPr>
        <w:t xml:space="preserve"> G. D. and</w:t>
      </w:r>
      <w:r w:rsidR="003452E2" w:rsidRPr="003452E2">
        <w:rPr>
          <w:lang w:val="en-AU"/>
        </w:rPr>
        <w:t xml:space="preserve"> Napier, C. J. (1996),</w:t>
      </w:r>
      <w:r w:rsidRPr="003452E2">
        <w:rPr>
          <w:lang w:val="en-AU"/>
        </w:rPr>
        <w:t xml:space="preserve"> </w:t>
      </w:r>
      <w:r w:rsidRPr="00AA770C">
        <w:rPr>
          <w:lang w:val="en-AU"/>
        </w:rPr>
        <w:t>“</w:t>
      </w:r>
      <w:r>
        <w:t xml:space="preserve">Critical and Interpretive Histories: Insights into Accounting’s Present and Future through its Past”, </w:t>
      </w:r>
      <w:r w:rsidRPr="00094954">
        <w:rPr>
          <w:i/>
        </w:rPr>
        <w:t>Accounting, Auditing &amp; Accountability Journal</w:t>
      </w:r>
      <w:r>
        <w:rPr>
          <w:i/>
        </w:rPr>
        <w:t xml:space="preserve">, </w:t>
      </w:r>
      <w:r>
        <w:t>Vol. 9, No. 3</w:t>
      </w:r>
      <w:r w:rsidR="00A17E2D">
        <w:t>:</w:t>
      </w:r>
      <w:r>
        <w:t xml:space="preserve"> 7-39.</w:t>
      </w:r>
    </w:p>
    <w:p w:rsidR="00AA770C" w:rsidRDefault="00AA770C" w:rsidP="00AA770C">
      <w:pPr>
        <w:spacing w:line="240" w:lineRule="auto"/>
        <w:ind w:firstLine="0"/>
      </w:pPr>
    </w:p>
    <w:p w:rsidR="00157E5A" w:rsidRPr="007A33F9" w:rsidRDefault="00305DEC" w:rsidP="00157E5A">
      <w:pPr>
        <w:widowControl w:val="0"/>
        <w:tabs>
          <w:tab w:val="left" w:pos="360"/>
        </w:tabs>
        <w:spacing w:line="240" w:lineRule="atLeast"/>
        <w:ind w:firstLine="0"/>
        <w:rPr>
          <w:rFonts w:ascii="Arial" w:hAnsi="Arial"/>
          <w:sz w:val="22"/>
        </w:rPr>
      </w:pPr>
      <w:r w:rsidRPr="00157E5A">
        <w:rPr>
          <w:lang w:val="en-AU"/>
        </w:rPr>
        <w:t>Carnegie, G. D. and</w:t>
      </w:r>
      <w:r w:rsidR="003452E2">
        <w:rPr>
          <w:lang w:val="en-AU"/>
        </w:rPr>
        <w:t xml:space="preserve"> Napier, C. J.</w:t>
      </w:r>
      <w:r w:rsidRPr="00157E5A">
        <w:rPr>
          <w:lang w:val="en-AU"/>
        </w:rPr>
        <w:t xml:space="preserve"> (2010), </w:t>
      </w:r>
      <w:r w:rsidR="00157E5A" w:rsidRPr="00157E5A">
        <w:t>“Traditional Accounta</w:t>
      </w:r>
      <w:r w:rsidR="00157E5A">
        <w:t xml:space="preserve">nts and Business Professionals: Portraying the Accounting </w:t>
      </w:r>
      <w:r w:rsidR="00157E5A" w:rsidRPr="00157E5A">
        <w:t xml:space="preserve">Profession after Enron”, </w:t>
      </w:r>
      <w:r w:rsidR="00157E5A" w:rsidRPr="00157E5A">
        <w:rPr>
          <w:i/>
        </w:rPr>
        <w:t xml:space="preserve">Accounting, Organizations and Society, </w:t>
      </w:r>
      <w:r w:rsidR="00157E5A" w:rsidRPr="00157E5A">
        <w:t>Vol. 35, No. 3</w:t>
      </w:r>
      <w:r w:rsidR="00A17E2D">
        <w:t xml:space="preserve">: </w:t>
      </w:r>
      <w:r w:rsidR="00157E5A" w:rsidRPr="00157E5A">
        <w:t>360-376.</w:t>
      </w:r>
      <w:r w:rsidR="00157E5A" w:rsidRPr="007A33F9">
        <w:rPr>
          <w:rFonts w:ascii="Arial" w:hAnsi="Arial"/>
          <w:sz w:val="22"/>
        </w:rPr>
        <w:t xml:space="preserve"> </w:t>
      </w:r>
    </w:p>
    <w:p w:rsidR="00DB6BC7" w:rsidRDefault="00DB6BC7" w:rsidP="00DB6BC7">
      <w:pPr>
        <w:pStyle w:val="Reference"/>
        <w:spacing w:line="240" w:lineRule="auto"/>
        <w:ind w:left="0" w:firstLine="0"/>
      </w:pPr>
    </w:p>
    <w:p w:rsidR="009B69B1" w:rsidRDefault="009B69B1" w:rsidP="00DB6BC7">
      <w:pPr>
        <w:pStyle w:val="Reference"/>
        <w:spacing w:line="240" w:lineRule="auto"/>
        <w:ind w:left="0" w:firstLine="0"/>
      </w:pPr>
      <w:r>
        <w:t xml:space="preserve">Champion, J. (2003), “Seeing the Past: Simon Schama’s ‘A History of Britain’ and Public History”, </w:t>
      </w:r>
      <w:r>
        <w:rPr>
          <w:i/>
        </w:rPr>
        <w:t>History Workshop Journal</w:t>
      </w:r>
      <w:r>
        <w:t>, No. 56</w:t>
      </w:r>
      <w:r w:rsidR="00A17E2D">
        <w:t>:</w:t>
      </w:r>
      <w:r>
        <w:t xml:space="preserve"> 153-174.</w:t>
      </w:r>
    </w:p>
    <w:p w:rsidR="00740E0A" w:rsidRDefault="00740E0A" w:rsidP="00DB6BC7">
      <w:pPr>
        <w:pStyle w:val="Reference"/>
        <w:spacing w:line="240" w:lineRule="auto"/>
        <w:ind w:left="0" w:firstLine="0"/>
      </w:pPr>
    </w:p>
    <w:p w:rsidR="00740E0A" w:rsidRPr="00DF7C8D" w:rsidRDefault="00740E0A" w:rsidP="00DB6BC7">
      <w:pPr>
        <w:pStyle w:val="Reference"/>
        <w:spacing w:line="240" w:lineRule="auto"/>
        <w:ind w:left="0" w:firstLine="0"/>
      </w:pPr>
      <w:r>
        <w:t xml:space="preserve">Champion, J. (2007), “What are Historians For?”, </w:t>
      </w:r>
      <w:r>
        <w:rPr>
          <w:i/>
        </w:rPr>
        <w:t>Historical Research</w:t>
      </w:r>
      <w:r>
        <w:t>, Vol. 81, No. 211</w:t>
      </w:r>
      <w:r w:rsidR="00A17E2D">
        <w:t xml:space="preserve">: </w:t>
      </w:r>
      <w:r>
        <w:t>167-187.</w:t>
      </w:r>
    </w:p>
    <w:p w:rsidR="009B69B1" w:rsidRDefault="009B69B1" w:rsidP="00DB6BC7">
      <w:pPr>
        <w:pStyle w:val="Reference"/>
        <w:spacing w:line="240" w:lineRule="auto"/>
        <w:ind w:left="0" w:firstLine="0"/>
      </w:pPr>
    </w:p>
    <w:p w:rsidR="00DB6BC7" w:rsidRPr="001F63E4" w:rsidRDefault="00DB6BC7" w:rsidP="00DB6BC7">
      <w:pPr>
        <w:pStyle w:val="Reference"/>
        <w:spacing w:line="240" w:lineRule="auto"/>
        <w:ind w:left="0" w:firstLine="0"/>
      </w:pPr>
      <w:r>
        <w:t>Chat</w:t>
      </w:r>
      <w:r w:rsidR="00050DA9">
        <w:t>field, M. and Vangermeersch, R.</w:t>
      </w:r>
      <w:r>
        <w:t xml:space="preserve"> (1996), </w:t>
      </w:r>
      <w:r>
        <w:rPr>
          <w:i/>
        </w:rPr>
        <w:t>The History of Accounting</w:t>
      </w:r>
      <w:r>
        <w:t xml:space="preserve"> (New York: Garland).</w:t>
      </w:r>
    </w:p>
    <w:p w:rsidR="00DB6BC7" w:rsidRDefault="00DB6BC7" w:rsidP="00617141">
      <w:pPr>
        <w:spacing w:line="240" w:lineRule="auto"/>
        <w:ind w:firstLine="0"/>
      </w:pPr>
    </w:p>
    <w:p w:rsidR="00DE195A" w:rsidRDefault="00F32CBC" w:rsidP="00617141">
      <w:pPr>
        <w:spacing w:line="240" w:lineRule="auto"/>
        <w:ind w:firstLine="0"/>
        <w:rPr>
          <w:lang w:val="it-IT"/>
        </w:rPr>
      </w:pPr>
      <w:r w:rsidRPr="002417ED">
        <w:rPr>
          <w:lang w:val="it-IT"/>
        </w:rPr>
        <w:t>Cole</w:t>
      </w:r>
      <w:r w:rsidR="00617141" w:rsidRPr="002417ED">
        <w:rPr>
          <w:lang w:val="it-IT"/>
        </w:rPr>
        <w:t>, B.</w:t>
      </w:r>
      <w:r w:rsidRPr="002417ED">
        <w:rPr>
          <w:lang w:val="it-IT"/>
        </w:rPr>
        <w:t xml:space="preserve"> (2012)</w:t>
      </w:r>
      <w:r w:rsidR="00617141" w:rsidRPr="002417ED">
        <w:rPr>
          <w:lang w:val="it-IT"/>
        </w:rPr>
        <w:t xml:space="preserve">, “A Heroine of Popular History”, </w:t>
      </w:r>
      <w:r w:rsidR="00617141" w:rsidRPr="002417ED">
        <w:rPr>
          <w:i/>
          <w:lang w:val="it-IT"/>
        </w:rPr>
        <w:t>The Wall Street Journal</w:t>
      </w:r>
      <w:r w:rsidR="00617141" w:rsidRPr="002417ED">
        <w:rPr>
          <w:lang w:val="it-IT"/>
        </w:rPr>
        <w:t xml:space="preserve"> (10 March)</w:t>
      </w:r>
      <w:r w:rsidR="00DE195A" w:rsidRPr="002417ED">
        <w:rPr>
          <w:lang w:val="it-IT"/>
        </w:rPr>
        <w:t>.</w:t>
      </w:r>
      <w:r w:rsidR="00617141" w:rsidRPr="002417ED">
        <w:rPr>
          <w:lang w:val="it-IT"/>
        </w:rPr>
        <w:t xml:space="preserve"> </w:t>
      </w:r>
      <w:r w:rsidR="00DE195A">
        <w:rPr>
          <w:lang w:val="it-IT"/>
        </w:rPr>
        <w:t>Last accessed 2/20/13 from</w:t>
      </w:r>
    </w:p>
    <w:p w:rsidR="006D3257" w:rsidRPr="009B1DF0" w:rsidRDefault="00B663C3" w:rsidP="00617141">
      <w:pPr>
        <w:spacing w:line="240" w:lineRule="auto"/>
        <w:ind w:firstLine="0"/>
        <w:rPr>
          <w:lang w:val="it-IT"/>
        </w:rPr>
      </w:pPr>
      <w:hyperlink r:id="rId13" w:history="1">
        <w:r w:rsidR="006E0299" w:rsidRPr="00DA7744">
          <w:rPr>
            <w:rStyle w:val="Hyperlink"/>
            <w:lang w:val="it-IT"/>
          </w:rPr>
          <w:t>http://online.wsj.com/article/SB10001424052970203960804577243093554779020.html</w:t>
        </w:r>
      </w:hyperlink>
      <w:r w:rsidR="00617141" w:rsidRPr="009B1DF0">
        <w:rPr>
          <w:lang w:val="it-IT"/>
        </w:rPr>
        <w:t>.</w:t>
      </w:r>
    </w:p>
    <w:p w:rsidR="006C5F2A" w:rsidRPr="009B1DF0" w:rsidRDefault="006C5F2A" w:rsidP="00617141">
      <w:pPr>
        <w:spacing w:line="240" w:lineRule="auto"/>
        <w:ind w:firstLine="0"/>
        <w:rPr>
          <w:lang w:val="it-IT"/>
        </w:rPr>
      </w:pPr>
    </w:p>
    <w:p w:rsidR="006C5F2A" w:rsidRPr="006C5F2A" w:rsidRDefault="006C5F2A" w:rsidP="00617141">
      <w:pPr>
        <w:spacing w:line="240" w:lineRule="auto"/>
        <w:ind w:firstLine="0"/>
        <w:rPr>
          <w:lang w:val="en-AU"/>
        </w:rPr>
      </w:pPr>
      <w:r>
        <w:rPr>
          <w:lang w:val="en-AU"/>
        </w:rPr>
        <w:t xml:space="preserve">Cooke, R. (2012), “David Starkey: ‘I Can Be a Bit Harsh’”, </w:t>
      </w:r>
      <w:r>
        <w:rPr>
          <w:i/>
          <w:lang w:val="en-AU"/>
        </w:rPr>
        <w:t>The Observer</w:t>
      </w:r>
      <w:r>
        <w:rPr>
          <w:lang w:val="en-AU"/>
        </w:rPr>
        <w:t xml:space="preserve"> (22 April)</w:t>
      </w:r>
      <w:r w:rsidR="00DE195A">
        <w:rPr>
          <w:lang w:val="en-AU"/>
        </w:rPr>
        <w:t>. Last accessed 2/20/13 from</w:t>
      </w:r>
      <w:r>
        <w:rPr>
          <w:lang w:val="en-AU"/>
        </w:rPr>
        <w:t xml:space="preserve"> </w:t>
      </w:r>
      <w:hyperlink r:id="rId14" w:history="1">
        <w:r w:rsidRPr="00627FC0">
          <w:rPr>
            <w:rStyle w:val="Hyperlink"/>
            <w:lang w:val="en-AU"/>
          </w:rPr>
          <w:t>http://www.guardian.co.uk/culture/2012/apr/22/david-starkey-interview-a-bit-harsh</w:t>
        </w:r>
      </w:hyperlink>
      <w:r>
        <w:rPr>
          <w:lang w:val="en-AU"/>
        </w:rPr>
        <w:t xml:space="preserve">. </w:t>
      </w:r>
    </w:p>
    <w:p w:rsidR="00CF04C7" w:rsidRDefault="00CF04C7" w:rsidP="00617141">
      <w:pPr>
        <w:spacing w:line="240" w:lineRule="auto"/>
        <w:ind w:firstLine="0"/>
        <w:rPr>
          <w:lang w:val="en-AU"/>
        </w:rPr>
      </w:pPr>
    </w:p>
    <w:p w:rsidR="00CF04C7" w:rsidRDefault="00CF04C7" w:rsidP="00617141">
      <w:pPr>
        <w:spacing w:line="240" w:lineRule="auto"/>
        <w:ind w:firstLine="0"/>
        <w:rPr>
          <w:lang w:val="en-AU"/>
        </w:rPr>
      </w:pPr>
      <w:r w:rsidRPr="005A5A70">
        <w:t>Curthoys</w:t>
      </w:r>
      <w:r>
        <w:rPr>
          <w:lang w:val="en-AU"/>
        </w:rPr>
        <w:t xml:space="preserve">, A. and Docker, J. (2006), </w:t>
      </w:r>
      <w:r>
        <w:rPr>
          <w:i/>
          <w:lang w:val="en-AU"/>
        </w:rPr>
        <w:t>Is History Fiction?</w:t>
      </w:r>
      <w:r>
        <w:rPr>
          <w:lang w:val="en-AU"/>
        </w:rPr>
        <w:t xml:space="preserve"> (Sydney: UNSW Press).</w:t>
      </w:r>
    </w:p>
    <w:p w:rsidR="00740E0A" w:rsidRDefault="00740E0A" w:rsidP="00617141">
      <w:pPr>
        <w:spacing w:line="240" w:lineRule="auto"/>
        <w:ind w:firstLine="0"/>
        <w:rPr>
          <w:lang w:val="en-AU"/>
        </w:rPr>
      </w:pPr>
    </w:p>
    <w:p w:rsidR="00740E0A" w:rsidRPr="002417ED" w:rsidRDefault="00740E0A" w:rsidP="00DF7C8D">
      <w:pPr>
        <w:autoSpaceDE w:val="0"/>
        <w:autoSpaceDN w:val="0"/>
        <w:adjustRightInd w:val="0"/>
        <w:spacing w:line="240" w:lineRule="auto"/>
        <w:ind w:firstLine="0"/>
        <w:jc w:val="left"/>
        <w:rPr>
          <w:lang w:val="it-IT"/>
        </w:rPr>
      </w:pPr>
      <w:r>
        <w:rPr>
          <w:lang w:val="en-AU"/>
        </w:rPr>
        <w:t xml:space="preserve">Curthoys, A. and McGrath, A. (2011), </w:t>
      </w:r>
      <w:r w:rsidRPr="00DF7C8D">
        <w:rPr>
          <w:rFonts w:eastAsia="Bliss2-Medium"/>
          <w:i/>
          <w:lang w:val="en-AU"/>
        </w:rPr>
        <w:t>How to Write History that People Want to Read</w:t>
      </w:r>
      <w:r>
        <w:rPr>
          <w:rFonts w:eastAsia="Bliss2-Medium"/>
          <w:lang w:val="en-AU"/>
        </w:rPr>
        <w:t xml:space="preserve"> (Basingstoke: Palgrave Macmillan).</w:t>
      </w:r>
    </w:p>
    <w:p w:rsidR="006E0299" w:rsidRPr="002417ED" w:rsidRDefault="006E0299" w:rsidP="006D3257">
      <w:pPr>
        <w:spacing w:line="240" w:lineRule="auto"/>
        <w:ind w:firstLine="0"/>
        <w:rPr>
          <w:lang w:val="it-IT"/>
        </w:rPr>
      </w:pPr>
    </w:p>
    <w:p w:rsidR="007F15B9" w:rsidRDefault="007F15B9" w:rsidP="007F15B9">
      <w:pPr>
        <w:pStyle w:val="Reference"/>
        <w:spacing w:line="240" w:lineRule="auto"/>
        <w:ind w:left="0" w:firstLine="0"/>
      </w:pPr>
      <w:r>
        <w:t xml:space="preserve">Eichenwald, K, (2005), </w:t>
      </w:r>
      <w:r>
        <w:rPr>
          <w:i/>
        </w:rPr>
        <w:t>Conspiracy of Fools: A True Story</w:t>
      </w:r>
      <w:r>
        <w:t xml:space="preserve"> (New York: Broadway Books).</w:t>
      </w:r>
    </w:p>
    <w:p w:rsidR="007B09DB" w:rsidRDefault="007B09DB" w:rsidP="007F15B9">
      <w:pPr>
        <w:pStyle w:val="Reference"/>
        <w:spacing w:line="240" w:lineRule="auto"/>
        <w:ind w:left="0" w:firstLine="0"/>
      </w:pPr>
    </w:p>
    <w:p w:rsidR="007B09DB" w:rsidRDefault="007B09DB" w:rsidP="007F15B9">
      <w:pPr>
        <w:pStyle w:val="Reference"/>
        <w:spacing w:line="240" w:lineRule="auto"/>
        <w:ind w:left="0" w:firstLine="0"/>
      </w:pPr>
      <w:r>
        <w:t xml:space="preserve">Evans, R. J. (2002), “Prologue: </w:t>
      </w:r>
      <w:r>
        <w:rPr>
          <w:i/>
        </w:rPr>
        <w:t>What is History?</w:t>
      </w:r>
      <w:r>
        <w:t xml:space="preserve"> – Now”, in D. Cannadine (ed.) </w:t>
      </w:r>
      <w:r>
        <w:rPr>
          <w:i/>
        </w:rPr>
        <w:t>What is History Now?</w:t>
      </w:r>
      <w:r>
        <w:t xml:space="preserve"> (Basingstoke: Palgrave Macmillan)</w:t>
      </w:r>
      <w:r w:rsidR="00C27639">
        <w:t>:pp. 1-18.</w:t>
      </w:r>
    </w:p>
    <w:p w:rsidR="004224D6" w:rsidRDefault="004224D6" w:rsidP="007F15B9">
      <w:pPr>
        <w:pStyle w:val="Reference"/>
        <w:spacing w:line="240" w:lineRule="auto"/>
        <w:ind w:left="0" w:firstLine="0"/>
      </w:pPr>
    </w:p>
    <w:p w:rsidR="004224D6" w:rsidRPr="004224D6" w:rsidRDefault="004224D6" w:rsidP="007F15B9">
      <w:pPr>
        <w:pStyle w:val="Reference"/>
        <w:spacing w:line="240" w:lineRule="auto"/>
        <w:ind w:left="0" w:firstLine="0"/>
      </w:pPr>
      <w:r>
        <w:t xml:space="preserve">Ferguson, N. (2008), </w:t>
      </w:r>
      <w:r>
        <w:rPr>
          <w:i/>
        </w:rPr>
        <w:t>The Ascent of Money: A Financial History of the World</w:t>
      </w:r>
      <w:r>
        <w:t xml:space="preserve"> (London: Allen Lane).</w:t>
      </w:r>
    </w:p>
    <w:p w:rsidR="007F15B9" w:rsidRPr="007F15B9" w:rsidRDefault="007F15B9" w:rsidP="007F15B9">
      <w:pPr>
        <w:pStyle w:val="Reference"/>
        <w:spacing w:line="240" w:lineRule="auto"/>
      </w:pPr>
    </w:p>
    <w:p w:rsidR="00AD58D1" w:rsidRDefault="003452E2" w:rsidP="00AD58D1">
      <w:pPr>
        <w:pStyle w:val="Reference"/>
      </w:pPr>
      <w:r>
        <w:t>Fox, L. (2003),</w:t>
      </w:r>
      <w:r w:rsidR="00264835">
        <w:t xml:space="preserve"> </w:t>
      </w:r>
      <w:r w:rsidR="00AD58D1">
        <w:rPr>
          <w:i/>
        </w:rPr>
        <w:t>Enron: The Rise and Fall</w:t>
      </w:r>
      <w:r w:rsidR="00AD58D1">
        <w:t xml:space="preserve"> (Hoboken: John Wiley).</w:t>
      </w:r>
    </w:p>
    <w:p w:rsidR="00264835" w:rsidRPr="008E4782" w:rsidRDefault="00264835" w:rsidP="00264835">
      <w:pPr>
        <w:pStyle w:val="Reference"/>
        <w:spacing w:line="240" w:lineRule="auto"/>
        <w:ind w:left="0" w:firstLine="0"/>
      </w:pPr>
      <w:r w:rsidRPr="008E4782">
        <w:lastRenderedPageBreak/>
        <w:t>Fun</w:t>
      </w:r>
      <w:r>
        <w:t>nell, W. N. (2007), “Evidence, Myths and Informed Debate in Accounting History: A R</w:t>
      </w:r>
      <w:r w:rsidRPr="008E4782">
        <w:t>esponse to Arnold and McCartney</w:t>
      </w:r>
      <w:r>
        <w:t>”</w:t>
      </w:r>
      <w:r w:rsidRPr="008E4782">
        <w:t xml:space="preserve">, </w:t>
      </w:r>
      <w:r w:rsidRPr="008E4782">
        <w:rPr>
          <w:i/>
          <w:iCs/>
        </w:rPr>
        <w:t>Critical Perspectives on Accounting</w:t>
      </w:r>
      <w:r w:rsidRPr="008E4782">
        <w:t>, Vol. 18</w:t>
      </w:r>
      <w:r>
        <w:t>,</w:t>
      </w:r>
      <w:r w:rsidRPr="008E4782">
        <w:t xml:space="preserve"> No. 3</w:t>
      </w:r>
      <w:r w:rsidR="00A17E2D">
        <w:t>:</w:t>
      </w:r>
      <w:r w:rsidRPr="008E4782">
        <w:t xml:space="preserve"> 297-298.</w:t>
      </w:r>
    </w:p>
    <w:p w:rsidR="00264835" w:rsidRDefault="00264835" w:rsidP="006D3257">
      <w:pPr>
        <w:spacing w:line="240" w:lineRule="auto"/>
        <w:ind w:firstLine="0"/>
      </w:pPr>
    </w:p>
    <w:p w:rsidR="00550069" w:rsidRDefault="00CD666C" w:rsidP="006D3257">
      <w:pPr>
        <w:spacing w:line="240" w:lineRule="auto"/>
        <w:ind w:firstLine="0"/>
        <w:rPr>
          <w:lang w:val="en-AU"/>
        </w:rPr>
      </w:pPr>
      <w:r>
        <w:rPr>
          <w:lang w:val="en-AU"/>
        </w:rPr>
        <w:t>Glee</w:t>
      </w:r>
      <w:r w:rsidR="003452E2">
        <w:rPr>
          <w:lang w:val="en-AU"/>
        </w:rPr>
        <w:t>son-White, J.</w:t>
      </w:r>
      <w:r w:rsidR="00550069">
        <w:rPr>
          <w:lang w:val="en-AU"/>
        </w:rPr>
        <w:t xml:space="preserve"> (201</w:t>
      </w:r>
      <w:r w:rsidR="00A44C68">
        <w:rPr>
          <w:lang w:val="en-AU"/>
        </w:rPr>
        <w:t>1</w:t>
      </w:r>
      <w:r w:rsidR="00550069">
        <w:rPr>
          <w:lang w:val="en-AU"/>
        </w:rPr>
        <w:t xml:space="preserve">), </w:t>
      </w:r>
      <w:r w:rsidR="00550069" w:rsidRPr="00303336">
        <w:rPr>
          <w:i/>
          <w:lang w:val="en-AU"/>
        </w:rPr>
        <w:t>Double Entry:</w:t>
      </w:r>
      <w:r w:rsidR="00550069">
        <w:rPr>
          <w:i/>
          <w:lang w:val="en-AU"/>
        </w:rPr>
        <w:t xml:space="preserve"> How the Merchants of Venice Shaped the Modern World and How their Invention could Make or Break the Planet</w:t>
      </w:r>
      <w:r w:rsidR="00550069">
        <w:rPr>
          <w:lang w:val="en-AU"/>
        </w:rPr>
        <w:t xml:space="preserve"> </w:t>
      </w:r>
      <w:r w:rsidR="00280EE5">
        <w:rPr>
          <w:lang w:val="en-AU"/>
        </w:rPr>
        <w:t>(Sydney: Allen &amp; Unwin).</w:t>
      </w:r>
    </w:p>
    <w:p w:rsidR="00E74689" w:rsidRDefault="00E74689" w:rsidP="006D3257">
      <w:pPr>
        <w:spacing w:line="240" w:lineRule="auto"/>
        <w:ind w:firstLine="0"/>
        <w:rPr>
          <w:lang w:val="en-AU"/>
        </w:rPr>
      </w:pPr>
    </w:p>
    <w:p w:rsidR="00E74689" w:rsidRPr="009C06F0" w:rsidRDefault="009C06F0" w:rsidP="006D3257">
      <w:pPr>
        <w:spacing w:line="240" w:lineRule="auto"/>
        <w:ind w:firstLine="0"/>
        <w:rPr>
          <w:lang w:val="en-AU"/>
        </w:rPr>
      </w:pPr>
      <w:r>
        <w:rPr>
          <w:lang w:val="en-AU"/>
        </w:rPr>
        <w:t xml:space="preserve">Gomes, D., Carnegie, G. D., Napier, C. J., Parker, L. D. and West, B. (2011), “Does Accounting History Matter?”, </w:t>
      </w:r>
      <w:r>
        <w:rPr>
          <w:i/>
          <w:lang w:val="en-AU"/>
        </w:rPr>
        <w:t>Accounting History</w:t>
      </w:r>
      <w:r>
        <w:rPr>
          <w:lang w:val="en-AU"/>
        </w:rPr>
        <w:t>, Vol. 16, No. 4</w:t>
      </w:r>
      <w:r w:rsidR="00A17E2D">
        <w:rPr>
          <w:lang w:val="en-AU"/>
        </w:rPr>
        <w:t xml:space="preserve">: </w:t>
      </w:r>
      <w:r>
        <w:rPr>
          <w:lang w:val="en-AU"/>
        </w:rPr>
        <w:t>389-402.</w:t>
      </w:r>
    </w:p>
    <w:p w:rsidR="003452E2" w:rsidRDefault="003452E2" w:rsidP="006D3257">
      <w:pPr>
        <w:spacing w:line="240" w:lineRule="auto"/>
        <w:ind w:firstLine="0"/>
        <w:rPr>
          <w:lang w:val="en-AU"/>
        </w:rPr>
      </w:pPr>
    </w:p>
    <w:p w:rsidR="003452E2" w:rsidRDefault="003452E2" w:rsidP="003452E2">
      <w:pPr>
        <w:pStyle w:val="Reference"/>
        <w:spacing w:line="240" w:lineRule="auto"/>
        <w:ind w:left="0" w:firstLine="0"/>
      </w:pPr>
      <w:r>
        <w:t xml:space="preserve">Hamilton, S. and Micklethwait, A. (2006), </w:t>
      </w:r>
      <w:r>
        <w:rPr>
          <w:i/>
        </w:rPr>
        <w:t>Greed and Corporate Failure: The Lessons from Recent Disasters</w:t>
      </w:r>
      <w:r>
        <w:t xml:space="preserve"> (Basingstoke, Palgrave Macmillan).</w:t>
      </w:r>
    </w:p>
    <w:p w:rsidR="004A0787" w:rsidRDefault="004A0787" w:rsidP="003452E2">
      <w:pPr>
        <w:pStyle w:val="Reference"/>
        <w:spacing w:line="240" w:lineRule="auto"/>
        <w:ind w:left="0" w:firstLine="0"/>
      </w:pPr>
    </w:p>
    <w:p w:rsidR="004A0787" w:rsidRPr="00C10D58" w:rsidRDefault="004A0787" w:rsidP="003452E2">
      <w:pPr>
        <w:pStyle w:val="Reference"/>
        <w:spacing w:line="240" w:lineRule="auto"/>
        <w:ind w:left="0" w:firstLine="0"/>
      </w:pPr>
      <w:r>
        <w:t>Howe, B. J. (1989)</w:t>
      </w:r>
      <w:r w:rsidR="00C10D58">
        <w:t xml:space="preserve">, “Reflections on an Idea: NCPH’s First Decade”, </w:t>
      </w:r>
      <w:r w:rsidR="00C10D58">
        <w:rPr>
          <w:i/>
        </w:rPr>
        <w:t>The Public Historian</w:t>
      </w:r>
      <w:r w:rsidR="00C10D58">
        <w:t>, Vol. 11, No. 3</w:t>
      </w:r>
      <w:r w:rsidR="00A17E2D">
        <w:t xml:space="preserve">: </w:t>
      </w:r>
      <w:r w:rsidR="00C10D58">
        <w:t>68-85.</w:t>
      </w:r>
    </w:p>
    <w:p w:rsidR="00A44AAE" w:rsidRDefault="00A44AAE" w:rsidP="003452E2">
      <w:pPr>
        <w:pStyle w:val="Reference"/>
        <w:spacing w:line="240" w:lineRule="auto"/>
        <w:ind w:left="0" w:firstLine="0"/>
      </w:pPr>
    </w:p>
    <w:p w:rsidR="00A44AAE" w:rsidRDefault="00A44AAE" w:rsidP="00A44AAE">
      <w:pPr>
        <w:pStyle w:val="Reference"/>
        <w:spacing w:line="240" w:lineRule="auto"/>
        <w:ind w:left="0" w:firstLine="0"/>
      </w:pPr>
      <w:r>
        <w:t xml:space="preserve">Hughes, M. (2002), “No Accounting for Greed”, online article for </w:t>
      </w:r>
      <w:r>
        <w:rPr>
          <w:i/>
        </w:rPr>
        <w:t>BBC News</w:t>
      </w:r>
      <w:r>
        <w:t>.</w:t>
      </w:r>
      <w:r w:rsidR="00DE195A">
        <w:t xml:space="preserve"> Last accessed 2/20/13</w:t>
      </w:r>
      <w:r>
        <w:t xml:space="preserve"> from </w:t>
      </w:r>
      <w:hyperlink r:id="rId15" w:history="1">
        <w:r w:rsidR="00B86664" w:rsidRPr="00E171E0">
          <w:rPr>
            <w:rStyle w:val="Hyperlink"/>
          </w:rPr>
          <w:t>http://news.bbc.co.uk/1/hi/business/2147095.stm</w:t>
        </w:r>
      </w:hyperlink>
      <w:r>
        <w:t>.</w:t>
      </w:r>
    </w:p>
    <w:p w:rsidR="00B86664" w:rsidRDefault="00B86664" w:rsidP="00A44AAE">
      <w:pPr>
        <w:pStyle w:val="Reference"/>
        <w:spacing w:line="240" w:lineRule="auto"/>
        <w:ind w:left="0" w:firstLine="0"/>
      </w:pPr>
    </w:p>
    <w:p w:rsidR="00B86664" w:rsidRDefault="00B86664" w:rsidP="00A44AAE">
      <w:pPr>
        <w:pStyle w:val="Reference"/>
        <w:spacing w:line="240" w:lineRule="auto"/>
        <w:ind w:left="0" w:firstLine="0"/>
      </w:pPr>
      <w:r>
        <w:t xml:space="preserve">Jeter, L. W. (2003), </w:t>
      </w:r>
      <w:r>
        <w:rPr>
          <w:i/>
        </w:rPr>
        <w:t>Disconnected: Deceit and Betrayal at WorldCom</w:t>
      </w:r>
      <w:r>
        <w:t xml:space="preserve"> (Hoboken: John Wiley).</w:t>
      </w:r>
    </w:p>
    <w:p w:rsidR="00895ADA" w:rsidRDefault="00895ADA" w:rsidP="00A44AAE">
      <w:pPr>
        <w:pStyle w:val="Reference"/>
        <w:spacing w:line="240" w:lineRule="auto"/>
        <w:ind w:left="0" w:firstLine="0"/>
      </w:pPr>
    </w:p>
    <w:p w:rsidR="00895ADA" w:rsidRDefault="00895ADA" w:rsidP="00A44AAE">
      <w:pPr>
        <w:pStyle w:val="Reference"/>
        <w:spacing w:line="240" w:lineRule="auto"/>
        <w:ind w:left="0" w:firstLine="0"/>
      </w:pPr>
      <w:r>
        <w:t>Lowe, D. (2012), “The Journalist as an Historian”, Alfred Deakin Research Institute, Deakin University, Australia. Last accessed 2/20/13 from:</w:t>
      </w:r>
    </w:p>
    <w:p w:rsidR="00895ADA" w:rsidRDefault="00895ADA" w:rsidP="00A44AAE">
      <w:pPr>
        <w:pStyle w:val="Reference"/>
        <w:spacing w:line="240" w:lineRule="auto"/>
        <w:ind w:left="0" w:firstLine="0"/>
      </w:pPr>
      <w:r w:rsidRPr="00895ADA">
        <w:t>http://www.deakin.edu.au/research/stories/2012/05/15/the-journalist-as-an-historian</w:t>
      </w:r>
      <w:r>
        <w:t>.</w:t>
      </w:r>
    </w:p>
    <w:p w:rsidR="004A0787" w:rsidRDefault="004A0787" w:rsidP="00A44AAE">
      <w:pPr>
        <w:pStyle w:val="Reference"/>
        <w:spacing w:line="240" w:lineRule="auto"/>
        <w:ind w:left="0" w:firstLine="0"/>
      </w:pPr>
    </w:p>
    <w:p w:rsidR="004A0787" w:rsidRDefault="004A0787" w:rsidP="00A44AAE">
      <w:pPr>
        <w:pStyle w:val="Reference"/>
        <w:spacing w:line="240" w:lineRule="auto"/>
        <w:ind w:left="0" w:firstLine="0"/>
      </w:pPr>
      <w:r>
        <w:t xml:space="preserve">Mantel, H. (2009), </w:t>
      </w:r>
      <w:r>
        <w:rPr>
          <w:i/>
        </w:rPr>
        <w:t>Wolf Hall</w:t>
      </w:r>
      <w:r>
        <w:t xml:space="preserve"> </w:t>
      </w:r>
      <w:r w:rsidR="00C10D58">
        <w:t>(</w:t>
      </w:r>
      <w:r>
        <w:t>London: Fourth Estate</w:t>
      </w:r>
      <w:r w:rsidR="00C10D58">
        <w:t>)</w:t>
      </w:r>
      <w:r>
        <w:t>.</w:t>
      </w:r>
    </w:p>
    <w:p w:rsidR="004A0787" w:rsidRDefault="004A0787" w:rsidP="00A44AAE">
      <w:pPr>
        <w:pStyle w:val="Reference"/>
        <w:spacing w:line="240" w:lineRule="auto"/>
        <w:ind w:left="0" w:firstLine="0"/>
      </w:pPr>
    </w:p>
    <w:p w:rsidR="004A0787" w:rsidRDefault="004A0787" w:rsidP="00A44AAE">
      <w:pPr>
        <w:pStyle w:val="Reference"/>
        <w:spacing w:line="240" w:lineRule="auto"/>
        <w:ind w:left="0" w:firstLine="0"/>
      </w:pPr>
      <w:r>
        <w:t xml:space="preserve">Mantel, H. (2012), </w:t>
      </w:r>
      <w:r>
        <w:rPr>
          <w:i/>
        </w:rPr>
        <w:t>Bring Up The Bodies</w:t>
      </w:r>
      <w:r>
        <w:t xml:space="preserve"> </w:t>
      </w:r>
      <w:r w:rsidR="00C10D58">
        <w:t>(</w:t>
      </w:r>
      <w:r>
        <w:t>London: Fourth Estate</w:t>
      </w:r>
      <w:r w:rsidR="00C10D58">
        <w:t>)</w:t>
      </w:r>
      <w:r>
        <w:t>.</w:t>
      </w:r>
    </w:p>
    <w:p w:rsidR="004A0787" w:rsidRPr="004A0787" w:rsidRDefault="004A0787" w:rsidP="00A44AAE">
      <w:pPr>
        <w:pStyle w:val="Reference"/>
        <w:spacing w:line="240" w:lineRule="auto"/>
        <w:ind w:left="0" w:firstLine="0"/>
      </w:pPr>
    </w:p>
    <w:p w:rsidR="00C077EF" w:rsidRDefault="00C077EF" w:rsidP="00C077EF">
      <w:pPr>
        <w:pStyle w:val="Reference"/>
        <w:spacing w:line="240" w:lineRule="auto"/>
        <w:ind w:left="0" w:firstLine="0"/>
      </w:pPr>
      <w:r>
        <w:t xml:space="preserve">McLean, B. and Elkind, P. (2003), </w:t>
      </w:r>
      <w:r>
        <w:rPr>
          <w:i/>
        </w:rPr>
        <w:t>The Smartest Guys in the Room: The Amazing Rise and Scandalous Fall of Enron</w:t>
      </w:r>
      <w:r>
        <w:t xml:space="preserve"> (New York: Portfolio).</w:t>
      </w:r>
    </w:p>
    <w:p w:rsidR="00DE3D8F" w:rsidRDefault="00DE3D8F" w:rsidP="00C077EF">
      <w:pPr>
        <w:pStyle w:val="Reference"/>
        <w:spacing w:line="240" w:lineRule="auto"/>
        <w:ind w:left="0" w:firstLine="0"/>
      </w:pPr>
    </w:p>
    <w:p w:rsidR="00DE3D8F" w:rsidRDefault="00DE3D8F" w:rsidP="00C077EF">
      <w:pPr>
        <w:pStyle w:val="Reference"/>
        <w:spacing w:line="240" w:lineRule="auto"/>
        <w:ind w:left="0" w:firstLine="0"/>
      </w:pPr>
      <w:r>
        <w:t xml:space="preserve">Napier, C. J. (1996), “Accounting and the Absence of a Business Economics Tradition in the United Kingdom”, </w:t>
      </w:r>
      <w:r>
        <w:rPr>
          <w:i/>
        </w:rPr>
        <w:t>European Accounting Review</w:t>
      </w:r>
      <w:r>
        <w:t>, Vol. 5, No. 3</w:t>
      </w:r>
      <w:r w:rsidR="00A17E2D">
        <w:t xml:space="preserve">: </w:t>
      </w:r>
      <w:r>
        <w:t>449-481.</w:t>
      </w:r>
    </w:p>
    <w:p w:rsidR="00CB21C6" w:rsidRDefault="00CB21C6" w:rsidP="00C077EF">
      <w:pPr>
        <w:pStyle w:val="Reference"/>
        <w:spacing w:line="240" w:lineRule="auto"/>
        <w:ind w:left="0" w:firstLine="0"/>
      </w:pPr>
    </w:p>
    <w:p w:rsidR="00CB21C6" w:rsidRPr="00CB21C6" w:rsidRDefault="00CB21C6" w:rsidP="00C077EF">
      <w:pPr>
        <w:pStyle w:val="Reference"/>
        <w:spacing w:line="240" w:lineRule="auto"/>
        <w:ind w:left="0" w:firstLine="0"/>
      </w:pPr>
      <w:r>
        <w:t>Napier, C. J. (2009), “Historiography”, in J. R. Edwards and S. P. Walker (eds</w:t>
      </w:r>
      <w:r w:rsidR="009B1DF0">
        <w:t>.</w:t>
      </w:r>
      <w:r>
        <w:t xml:space="preserve">) </w:t>
      </w:r>
      <w:r>
        <w:rPr>
          <w:i/>
        </w:rPr>
        <w:t>The Routledge Companion to Accounting History</w:t>
      </w:r>
      <w:r>
        <w:t xml:space="preserve"> (Abingdon: Routledge)</w:t>
      </w:r>
      <w:r w:rsidR="00A17E2D">
        <w:t xml:space="preserve">: pp. </w:t>
      </w:r>
      <w:r>
        <w:t>30-49.</w:t>
      </w:r>
    </w:p>
    <w:p w:rsidR="009624CE" w:rsidRDefault="009624CE" w:rsidP="00C077EF">
      <w:pPr>
        <w:pStyle w:val="Reference"/>
        <w:spacing w:line="240" w:lineRule="auto"/>
        <w:ind w:left="0" w:firstLine="0"/>
      </w:pPr>
    </w:p>
    <w:p w:rsidR="004224D6" w:rsidRDefault="009624CE" w:rsidP="00C077EF">
      <w:pPr>
        <w:pStyle w:val="Reference"/>
        <w:spacing w:line="240" w:lineRule="auto"/>
        <w:ind w:left="0" w:firstLine="0"/>
      </w:pPr>
      <w:r>
        <w:t>Olson</w:t>
      </w:r>
      <w:r w:rsidR="00CD01DA">
        <w:t>, W. E.</w:t>
      </w:r>
      <w:r>
        <w:t xml:space="preserve"> (1982),</w:t>
      </w:r>
      <w:r w:rsidR="00CD01DA">
        <w:t xml:space="preserve"> </w:t>
      </w:r>
      <w:r w:rsidR="00CD01DA">
        <w:rPr>
          <w:i/>
        </w:rPr>
        <w:t>The Accounting Profession: Years of Trial:</w:t>
      </w:r>
      <w:r w:rsidR="009B1DF0">
        <w:rPr>
          <w:i/>
        </w:rPr>
        <w:t xml:space="preserve"> </w:t>
      </w:r>
      <w:r w:rsidR="00CD01DA">
        <w:rPr>
          <w:i/>
        </w:rPr>
        <w:t>1969-1980</w:t>
      </w:r>
      <w:r w:rsidR="00CD01DA">
        <w:t xml:space="preserve"> (New York: AICPA).</w:t>
      </w:r>
    </w:p>
    <w:p w:rsidR="004224D6" w:rsidRDefault="004224D6" w:rsidP="00C077EF">
      <w:pPr>
        <w:pStyle w:val="Reference"/>
        <w:spacing w:line="240" w:lineRule="auto"/>
        <w:ind w:left="0" w:firstLine="0"/>
      </w:pPr>
    </w:p>
    <w:p w:rsidR="009624CE" w:rsidRDefault="004224D6" w:rsidP="00C077EF">
      <w:pPr>
        <w:pStyle w:val="Reference"/>
        <w:spacing w:line="240" w:lineRule="auto"/>
        <w:ind w:left="0" w:firstLine="0"/>
      </w:pPr>
      <w:r>
        <w:t xml:space="preserve">Pha, A. (2002), </w:t>
      </w:r>
      <w:r>
        <w:rPr>
          <w:i/>
        </w:rPr>
        <w:t>Enron: Capitalism in a Nutshell</w:t>
      </w:r>
      <w:r>
        <w:t xml:space="preserve"> (Surry Hills, NSW: New Age Publishers)</w:t>
      </w:r>
      <w:r w:rsidR="00A8455F">
        <w:t>.</w:t>
      </w:r>
    </w:p>
    <w:p w:rsidR="00D86989" w:rsidRDefault="00D86989" w:rsidP="00C077EF">
      <w:pPr>
        <w:pStyle w:val="Reference"/>
        <w:spacing w:line="240" w:lineRule="auto"/>
        <w:ind w:left="0" w:firstLine="0"/>
      </w:pPr>
    </w:p>
    <w:p w:rsidR="00D86989" w:rsidRDefault="00D86989" w:rsidP="00D86989">
      <w:pPr>
        <w:pStyle w:val="Reference"/>
        <w:spacing w:line="240" w:lineRule="auto"/>
        <w:ind w:left="0" w:firstLine="0"/>
      </w:pPr>
      <w:r>
        <w:t xml:space="preserve">Previts, G. J. and Merino, B. D. (1998), </w:t>
      </w:r>
      <w:r>
        <w:rPr>
          <w:i/>
        </w:rPr>
        <w:t>A History of Accountancy in the United States: The Cultural Significance of Accounting</w:t>
      </w:r>
      <w:r>
        <w:t xml:space="preserve"> (Columbus: Ohio State University Press).</w:t>
      </w:r>
    </w:p>
    <w:p w:rsidR="00D86989" w:rsidRDefault="00D86989" w:rsidP="00C077EF">
      <w:pPr>
        <w:pStyle w:val="Reference"/>
        <w:spacing w:line="240" w:lineRule="auto"/>
        <w:ind w:left="0" w:firstLine="0"/>
      </w:pPr>
    </w:p>
    <w:p w:rsidR="006E0299" w:rsidRDefault="00303336" w:rsidP="006D3257">
      <w:pPr>
        <w:spacing w:line="240" w:lineRule="auto"/>
        <w:ind w:firstLine="0"/>
        <w:rPr>
          <w:lang w:val="en-AU"/>
        </w:rPr>
      </w:pPr>
      <w:r>
        <w:rPr>
          <w:lang w:val="en-AU"/>
        </w:rPr>
        <w:t>Radcliffe, V. S. (2006), “‘</w:t>
      </w:r>
      <w:r w:rsidR="006E0299">
        <w:rPr>
          <w:lang w:val="en-AU"/>
        </w:rPr>
        <w:t xml:space="preserve">It’s Oysters, Dear’: Professor Carnegie’s Prescription and the Seeming Fate of Accounting History in the United States”, </w:t>
      </w:r>
      <w:r w:rsidR="006E0299" w:rsidRPr="006E0299">
        <w:rPr>
          <w:i/>
          <w:lang w:val="en-AU"/>
        </w:rPr>
        <w:t>Accounting Historians Journal</w:t>
      </w:r>
      <w:r w:rsidR="006E0299">
        <w:rPr>
          <w:lang w:val="en-AU"/>
        </w:rPr>
        <w:t>, Vol. 3</w:t>
      </w:r>
      <w:r>
        <w:rPr>
          <w:lang w:val="en-AU"/>
        </w:rPr>
        <w:t>3, No. 1</w:t>
      </w:r>
      <w:r w:rsidR="00A17E2D">
        <w:rPr>
          <w:lang w:val="en-AU"/>
        </w:rPr>
        <w:t>:</w:t>
      </w:r>
      <w:r>
        <w:rPr>
          <w:lang w:val="en-AU"/>
        </w:rPr>
        <w:t xml:space="preserve"> 211-214.  </w:t>
      </w:r>
    </w:p>
    <w:p w:rsidR="00303336" w:rsidRDefault="00303336" w:rsidP="006D3257">
      <w:pPr>
        <w:spacing w:line="240" w:lineRule="auto"/>
        <w:ind w:firstLine="0"/>
        <w:rPr>
          <w:lang w:val="en-AU"/>
        </w:rPr>
      </w:pPr>
    </w:p>
    <w:p w:rsidR="00303336" w:rsidRDefault="00303336" w:rsidP="006D3257">
      <w:pPr>
        <w:spacing w:line="240" w:lineRule="auto"/>
        <w:ind w:firstLine="0"/>
        <w:rPr>
          <w:lang w:val="en-AU"/>
        </w:rPr>
      </w:pPr>
      <w:r>
        <w:rPr>
          <w:lang w:val="en-AU"/>
        </w:rPr>
        <w:t xml:space="preserve">Sangster, A. (2012), </w:t>
      </w:r>
      <w:r w:rsidR="00A17E2D">
        <w:rPr>
          <w:lang w:val="en-AU"/>
        </w:rPr>
        <w:t>B</w:t>
      </w:r>
      <w:r>
        <w:rPr>
          <w:lang w:val="en-AU"/>
        </w:rPr>
        <w:t xml:space="preserve">ook review of Glesson-White, </w:t>
      </w:r>
      <w:r w:rsidRPr="00303336">
        <w:rPr>
          <w:i/>
          <w:lang w:val="en-AU"/>
        </w:rPr>
        <w:t>Double Entry:</w:t>
      </w:r>
      <w:r>
        <w:rPr>
          <w:i/>
          <w:lang w:val="en-AU"/>
        </w:rPr>
        <w:t xml:space="preserve"> How the Merchants of Venice Shaped the Modern World and How their Invention could Make or Break the Planet</w:t>
      </w:r>
      <w:r>
        <w:rPr>
          <w:lang w:val="en-AU"/>
        </w:rPr>
        <w:t xml:space="preserve">, </w:t>
      </w:r>
      <w:r w:rsidRPr="00303336">
        <w:rPr>
          <w:i/>
          <w:lang w:val="en-AU"/>
        </w:rPr>
        <w:t>Accounting History</w:t>
      </w:r>
      <w:r>
        <w:rPr>
          <w:lang w:val="en-AU"/>
        </w:rPr>
        <w:t>, Vol. 16, No. 3/4</w:t>
      </w:r>
      <w:r w:rsidR="00A17E2D">
        <w:rPr>
          <w:lang w:val="en-AU"/>
        </w:rPr>
        <w:t xml:space="preserve">: </w:t>
      </w:r>
      <w:r>
        <w:rPr>
          <w:lang w:val="en-AU"/>
        </w:rPr>
        <w:t>501-510.</w:t>
      </w:r>
    </w:p>
    <w:p w:rsidR="008242E1" w:rsidRDefault="008242E1" w:rsidP="006D3257">
      <w:pPr>
        <w:spacing w:line="240" w:lineRule="auto"/>
        <w:ind w:firstLine="0"/>
        <w:rPr>
          <w:lang w:val="en-AU"/>
        </w:rPr>
      </w:pPr>
    </w:p>
    <w:p w:rsidR="008242E1" w:rsidRPr="008242E1" w:rsidRDefault="008242E1" w:rsidP="006D3257">
      <w:pPr>
        <w:spacing w:line="240" w:lineRule="auto"/>
        <w:ind w:firstLine="0"/>
        <w:rPr>
          <w:lang w:val="en-AU"/>
        </w:rPr>
      </w:pPr>
      <w:r>
        <w:rPr>
          <w:lang w:val="en-AU"/>
        </w:rPr>
        <w:t xml:space="preserve">Sikka, P. (2008), “The Internet and Potentialities of Emancipatory Change: The Case of the Institutions and Politics of Accounting”, </w:t>
      </w:r>
      <w:r>
        <w:rPr>
          <w:i/>
          <w:lang w:val="en-AU"/>
        </w:rPr>
        <w:t>Critical Perspectives on International Business</w:t>
      </w:r>
      <w:r>
        <w:rPr>
          <w:lang w:val="en-AU"/>
        </w:rPr>
        <w:t>, Vol. 4, No. 1</w:t>
      </w:r>
      <w:r w:rsidR="00A17E2D">
        <w:rPr>
          <w:lang w:val="en-AU"/>
        </w:rPr>
        <w:t xml:space="preserve">: </w:t>
      </w:r>
      <w:r>
        <w:rPr>
          <w:lang w:val="en-AU"/>
        </w:rPr>
        <w:t>75-83.</w:t>
      </w:r>
    </w:p>
    <w:p w:rsidR="00597F10" w:rsidRDefault="00597F10" w:rsidP="006D3257">
      <w:pPr>
        <w:spacing w:line="240" w:lineRule="auto"/>
        <w:ind w:firstLine="0"/>
        <w:rPr>
          <w:lang w:val="en-AU"/>
        </w:rPr>
      </w:pPr>
    </w:p>
    <w:p w:rsidR="00597F10" w:rsidRPr="006177EB" w:rsidRDefault="00597F10" w:rsidP="00597F10">
      <w:pPr>
        <w:pStyle w:val="Reference"/>
        <w:spacing w:line="240" w:lineRule="auto"/>
        <w:ind w:left="0" w:firstLine="0"/>
      </w:pPr>
      <w:r>
        <w:t xml:space="preserve">Skeel, D. (2005), </w:t>
      </w:r>
      <w:r>
        <w:rPr>
          <w:i/>
        </w:rPr>
        <w:t>Icarus in the Boardroom: The Fundamental Flaws in Corporate America and where they came from</w:t>
      </w:r>
      <w:r>
        <w:t xml:space="preserve"> (New York: Oxford University Press).</w:t>
      </w:r>
    </w:p>
    <w:p w:rsidR="00303336" w:rsidRDefault="00303336" w:rsidP="006D3257">
      <w:pPr>
        <w:spacing w:line="240" w:lineRule="auto"/>
        <w:ind w:firstLine="0"/>
        <w:rPr>
          <w:lang w:val="en-AU"/>
        </w:rPr>
      </w:pPr>
    </w:p>
    <w:p w:rsidR="00DE195A" w:rsidRDefault="00303336" w:rsidP="006D3257">
      <w:pPr>
        <w:spacing w:line="240" w:lineRule="auto"/>
        <w:ind w:firstLine="0"/>
      </w:pPr>
      <w:r w:rsidRPr="002417ED">
        <w:rPr>
          <w:lang w:val="de-DE"/>
        </w:rPr>
        <w:t xml:space="preserve">Soll, </w:t>
      </w:r>
      <w:r w:rsidR="00CD01DA" w:rsidRPr="002417ED">
        <w:rPr>
          <w:lang w:val="de-DE"/>
        </w:rPr>
        <w:t>J. (</w:t>
      </w:r>
      <w:r w:rsidRPr="002417ED">
        <w:rPr>
          <w:lang w:val="de-DE"/>
        </w:rPr>
        <w:t>2012</w:t>
      </w:r>
      <w:r w:rsidR="00CD01DA" w:rsidRPr="002417ED">
        <w:rPr>
          <w:lang w:val="de-DE"/>
        </w:rPr>
        <w:t>)</w:t>
      </w:r>
      <w:r w:rsidR="00302A5F" w:rsidRPr="002417ED">
        <w:rPr>
          <w:lang w:val="de-DE"/>
        </w:rPr>
        <w:t>,</w:t>
      </w:r>
      <w:r w:rsidR="00CD01DA" w:rsidRPr="002417ED">
        <w:rPr>
          <w:lang w:val="de-DE"/>
        </w:rPr>
        <w:t>“Accounted For: The Origins of Modern Finance</w:t>
      </w:r>
      <w:r w:rsidR="00CD01DA">
        <w:t xml:space="preserve">”, </w:t>
      </w:r>
      <w:r w:rsidR="00CD01DA">
        <w:rPr>
          <w:i/>
        </w:rPr>
        <w:t>New Republic</w:t>
      </w:r>
      <w:r w:rsidR="00CD01DA">
        <w:t xml:space="preserve"> (17 October)</w:t>
      </w:r>
      <w:r w:rsidR="00DE195A">
        <w:t>. Last accessed 2/20/13 from</w:t>
      </w:r>
    </w:p>
    <w:p w:rsidR="001064D3" w:rsidRDefault="00B663C3" w:rsidP="006D3257">
      <w:pPr>
        <w:spacing w:line="240" w:lineRule="auto"/>
        <w:ind w:firstLine="0"/>
      </w:pPr>
      <w:hyperlink r:id="rId16" w:history="1">
        <w:r w:rsidR="00705AF2" w:rsidRPr="002417ED">
          <w:rPr>
            <w:rStyle w:val="Hyperlink"/>
            <w:lang w:val="de-DE"/>
          </w:rPr>
          <w:t>http://www.newrepublic.com/book/review/double-entry-venice-modern-finance-accounting-jane-gleeson-white</w:t>
        </w:r>
      </w:hyperlink>
      <w:r w:rsidR="00CD01DA">
        <w:t>.</w:t>
      </w:r>
    </w:p>
    <w:p w:rsidR="00461294" w:rsidRDefault="00461294" w:rsidP="006D3257">
      <w:pPr>
        <w:spacing w:line="240" w:lineRule="auto"/>
        <w:ind w:firstLine="0"/>
      </w:pPr>
    </w:p>
    <w:p w:rsidR="00461294" w:rsidRPr="00461294" w:rsidRDefault="00461294" w:rsidP="006D3257">
      <w:pPr>
        <w:spacing w:line="240" w:lineRule="auto"/>
        <w:ind w:firstLine="0"/>
      </w:pPr>
      <w:r>
        <w:t xml:space="preserve">Southgate, B. (2005), </w:t>
      </w:r>
      <w:r>
        <w:rPr>
          <w:i/>
        </w:rPr>
        <w:t>What is History For?</w:t>
      </w:r>
      <w:r>
        <w:t xml:space="preserve"> (Abingdon: Routledge).</w:t>
      </w:r>
    </w:p>
    <w:p w:rsidR="00CF04C7" w:rsidRDefault="00CF04C7" w:rsidP="006D3257">
      <w:pPr>
        <w:spacing w:line="240" w:lineRule="auto"/>
        <w:ind w:firstLine="0"/>
      </w:pPr>
    </w:p>
    <w:p w:rsidR="00CF04C7" w:rsidRDefault="00CF04C7" w:rsidP="006D3257">
      <w:pPr>
        <w:spacing w:line="240" w:lineRule="auto"/>
        <w:ind w:firstLine="0"/>
      </w:pPr>
      <w:r>
        <w:t xml:space="preserve">Southgate, B. (2009), </w:t>
      </w:r>
      <w:r>
        <w:rPr>
          <w:i/>
        </w:rPr>
        <w:t>History Meets Fiction</w:t>
      </w:r>
      <w:r>
        <w:t xml:space="preserve"> (Harlow: Longman).</w:t>
      </w:r>
    </w:p>
    <w:p w:rsidR="00A8455F" w:rsidRDefault="00A8455F" w:rsidP="006D3257">
      <w:pPr>
        <w:spacing w:line="240" w:lineRule="auto"/>
        <w:ind w:firstLine="0"/>
      </w:pPr>
    </w:p>
    <w:p w:rsidR="00A8455F" w:rsidRPr="002417ED" w:rsidRDefault="00A8455F" w:rsidP="006D3257">
      <w:pPr>
        <w:spacing w:line="240" w:lineRule="auto"/>
        <w:ind w:firstLine="0"/>
        <w:rPr>
          <w:lang w:val="de-DE"/>
        </w:rPr>
      </w:pPr>
      <w:r>
        <w:t xml:space="preserve">Spacek, L. (1989), </w:t>
      </w:r>
      <w:r>
        <w:rPr>
          <w:i/>
        </w:rPr>
        <w:t>The Growth of Arthur Andersen &amp; Co. 1928-1973: An Oral History</w:t>
      </w:r>
      <w:r>
        <w:t xml:space="preserve"> (New York: Garland).</w:t>
      </w:r>
    </w:p>
    <w:p w:rsidR="00DA2A51" w:rsidRPr="002417ED" w:rsidRDefault="00DA2A51" w:rsidP="006D3257">
      <w:pPr>
        <w:spacing w:line="240" w:lineRule="auto"/>
        <w:ind w:firstLine="0"/>
        <w:rPr>
          <w:lang w:val="de-DE"/>
        </w:rPr>
      </w:pPr>
    </w:p>
    <w:p w:rsidR="00DA2A51" w:rsidRDefault="00DA2A51" w:rsidP="00DA2A51">
      <w:pPr>
        <w:pStyle w:val="Reference"/>
        <w:spacing w:line="240" w:lineRule="auto"/>
        <w:ind w:left="0" w:firstLine="0"/>
      </w:pPr>
      <w:r>
        <w:t>Squires, S. E., Smith, C. J., McDo</w:t>
      </w:r>
      <w:r w:rsidR="003452E2">
        <w:t xml:space="preserve">ugal, L., </w:t>
      </w:r>
      <w:r w:rsidR="00A17E2D">
        <w:t>and</w:t>
      </w:r>
      <w:r w:rsidR="003452E2">
        <w:t xml:space="preserve"> Yeack, W. R. (2003),</w:t>
      </w:r>
      <w:r w:rsidR="00597F10">
        <w:t xml:space="preserve"> </w:t>
      </w:r>
      <w:r>
        <w:rPr>
          <w:i/>
        </w:rPr>
        <w:t>Inside Arthur Andersen: Shifting Values, Unexpected Consequences</w:t>
      </w:r>
      <w:r>
        <w:t xml:space="preserve"> (Upper Saddle River: FT Prentice-Hall).</w:t>
      </w:r>
    </w:p>
    <w:p w:rsidR="00B01239" w:rsidRDefault="00B01239" w:rsidP="00DA2A51">
      <w:pPr>
        <w:pStyle w:val="Reference"/>
        <w:spacing w:line="240" w:lineRule="auto"/>
        <w:ind w:left="0" w:firstLine="0"/>
      </w:pPr>
    </w:p>
    <w:p w:rsidR="005A3E95" w:rsidRDefault="00B01239" w:rsidP="00DA2A51">
      <w:pPr>
        <w:pStyle w:val="Reference"/>
        <w:spacing w:line="240" w:lineRule="auto"/>
        <w:ind w:left="0" w:firstLine="0"/>
        <w:rPr>
          <w:rStyle w:val="st"/>
        </w:rPr>
      </w:pPr>
      <w:r>
        <w:t xml:space="preserve">Staubus, G. </w:t>
      </w:r>
      <w:r w:rsidR="005A3E95">
        <w:t xml:space="preserve">J. </w:t>
      </w:r>
      <w:r>
        <w:t xml:space="preserve">(2005), </w:t>
      </w:r>
      <w:r w:rsidR="005A3E95">
        <w:t>“</w:t>
      </w:r>
      <w:r w:rsidR="005A3E95">
        <w:rPr>
          <w:rStyle w:val="st"/>
        </w:rPr>
        <w:t xml:space="preserve">Ethics Failures in Corporate Financial Reporting”, </w:t>
      </w:r>
      <w:r w:rsidR="005A3E95">
        <w:rPr>
          <w:rStyle w:val="Emphasis"/>
        </w:rPr>
        <w:t>Journal of Business Ethics</w:t>
      </w:r>
      <w:r w:rsidR="005A3E95">
        <w:rPr>
          <w:rStyle w:val="st"/>
        </w:rPr>
        <w:t>, Vol. 57, No. 1</w:t>
      </w:r>
      <w:r w:rsidR="00A17E2D">
        <w:rPr>
          <w:rStyle w:val="st"/>
        </w:rPr>
        <w:t xml:space="preserve">: </w:t>
      </w:r>
      <w:r w:rsidR="005A3E95">
        <w:rPr>
          <w:rStyle w:val="st"/>
        </w:rPr>
        <w:t>5-15.</w:t>
      </w:r>
    </w:p>
    <w:p w:rsidR="00A110D9" w:rsidRDefault="00A110D9" w:rsidP="00DA2A51">
      <w:pPr>
        <w:pStyle w:val="Reference"/>
        <w:spacing w:line="240" w:lineRule="auto"/>
        <w:ind w:left="0" w:firstLine="0"/>
        <w:rPr>
          <w:rStyle w:val="st"/>
        </w:rPr>
      </w:pPr>
    </w:p>
    <w:p w:rsidR="00A110D9" w:rsidRDefault="00A110D9" w:rsidP="00DA2A51">
      <w:pPr>
        <w:pStyle w:val="Reference"/>
        <w:spacing w:line="240" w:lineRule="auto"/>
        <w:ind w:left="0" w:firstLine="0"/>
      </w:pPr>
      <w:r>
        <w:t>Stevens</w:t>
      </w:r>
      <w:r w:rsidR="00CD01DA">
        <w:t>, M.</w:t>
      </w:r>
      <w:r>
        <w:t xml:space="preserve"> (1981),</w:t>
      </w:r>
      <w:r w:rsidR="00CD01DA">
        <w:t xml:space="preserve"> </w:t>
      </w:r>
      <w:r w:rsidR="00CD01DA">
        <w:rPr>
          <w:i/>
        </w:rPr>
        <w:t>The Big Eight</w:t>
      </w:r>
      <w:r w:rsidR="00CD01DA">
        <w:t xml:space="preserve"> (New York: Macmillan).</w:t>
      </w:r>
    </w:p>
    <w:p w:rsidR="00090D75" w:rsidRDefault="00090D75" w:rsidP="00DA2A51">
      <w:pPr>
        <w:pStyle w:val="Reference"/>
        <w:spacing w:line="240" w:lineRule="auto"/>
        <w:ind w:left="0" w:firstLine="0"/>
      </w:pPr>
    </w:p>
    <w:p w:rsidR="00A110D9" w:rsidRDefault="00A110D9" w:rsidP="00DA2A51">
      <w:pPr>
        <w:pStyle w:val="Reference"/>
        <w:spacing w:line="240" w:lineRule="auto"/>
        <w:ind w:left="0" w:firstLine="0"/>
      </w:pPr>
      <w:r>
        <w:t>Stevens</w:t>
      </w:r>
      <w:r w:rsidR="00CD01DA">
        <w:t>, M.</w:t>
      </w:r>
      <w:r>
        <w:t xml:space="preserve"> (1991), </w:t>
      </w:r>
      <w:r w:rsidR="00CD01DA">
        <w:rPr>
          <w:i/>
        </w:rPr>
        <w:t>The Accounting Wars</w:t>
      </w:r>
      <w:r w:rsidR="009B1DF0">
        <w:t xml:space="preserve"> </w:t>
      </w:r>
      <w:r w:rsidR="00CD01DA">
        <w:t>(New York: Macmillan).</w:t>
      </w:r>
    </w:p>
    <w:p w:rsidR="00DE3D8F" w:rsidRDefault="00DE3D8F" w:rsidP="00DA2A51">
      <w:pPr>
        <w:pStyle w:val="Reference"/>
        <w:spacing w:line="240" w:lineRule="auto"/>
        <w:ind w:left="0" w:firstLine="0"/>
      </w:pPr>
    </w:p>
    <w:p w:rsidR="00DE3D8F" w:rsidRPr="00DE3D8F" w:rsidRDefault="00DE3D8F" w:rsidP="00DA2A51">
      <w:pPr>
        <w:pStyle w:val="Reference"/>
        <w:spacing w:line="240" w:lineRule="auto"/>
        <w:ind w:left="0" w:firstLine="0"/>
      </w:pPr>
      <w:r>
        <w:t xml:space="preserve">Suzuki, T. (2003), “The Epistemology of Macroeconomic Reality: The Keynesian Revolution from an Accounting Point of View”, </w:t>
      </w:r>
      <w:r>
        <w:rPr>
          <w:i/>
        </w:rPr>
        <w:t>Accounting, Organizations and Society</w:t>
      </w:r>
      <w:r>
        <w:t>, Vol. 28, No. 5</w:t>
      </w:r>
      <w:r w:rsidR="00A17E2D">
        <w:t xml:space="preserve">: </w:t>
      </w:r>
      <w:r>
        <w:t>471-517.</w:t>
      </w:r>
    </w:p>
    <w:p w:rsidR="00CD01DA" w:rsidRPr="00CD01DA" w:rsidRDefault="00CD01DA" w:rsidP="00DA2A51">
      <w:pPr>
        <w:pStyle w:val="Reference"/>
        <w:spacing w:line="240" w:lineRule="auto"/>
        <w:ind w:left="0" w:firstLine="0"/>
      </w:pPr>
    </w:p>
    <w:p w:rsidR="00090D75" w:rsidRDefault="00090D75" w:rsidP="00090D75">
      <w:pPr>
        <w:pStyle w:val="Reference"/>
        <w:spacing w:line="240" w:lineRule="auto"/>
        <w:ind w:left="0" w:firstLine="0"/>
      </w:pPr>
      <w:r>
        <w:t xml:space="preserve">Swartz, M. (2003), </w:t>
      </w:r>
      <w:r>
        <w:rPr>
          <w:i/>
        </w:rPr>
        <w:t>Power Failure: The Rise &amp; Fall of Enron</w:t>
      </w:r>
      <w:r>
        <w:t xml:space="preserve"> (London: Aurum Press).</w:t>
      </w:r>
    </w:p>
    <w:p w:rsidR="00090D75" w:rsidRDefault="00090D75" w:rsidP="00090D75">
      <w:pPr>
        <w:pStyle w:val="Reference"/>
        <w:spacing w:line="240" w:lineRule="auto"/>
      </w:pPr>
    </w:p>
    <w:p w:rsidR="003452E2" w:rsidRDefault="00090D75" w:rsidP="003452E2">
      <w:pPr>
        <w:pStyle w:val="Reference"/>
        <w:spacing w:line="240" w:lineRule="auto"/>
        <w:ind w:left="0" w:firstLine="0"/>
      </w:pPr>
      <w:r>
        <w:t xml:space="preserve">Toffler, B. L. (2003), </w:t>
      </w:r>
      <w:r w:rsidR="003452E2">
        <w:rPr>
          <w:i/>
        </w:rPr>
        <w:t xml:space="preserve">Final </w:t>
      </w:r>
      <w:r w:rsidR="00A8455F">
        <w:rPr>
          <w:i/>
        </w:rPr>
        <w:t>A</w:t>
      </w:r>
      <w:r w:rsidR="003452E2">
        <w:rPr>
          <w:i/>
        </w:rPr>
        <w:t>ccounting: Ambition, Greed, and the Fall of Arthur Andersen</w:t>
      </w:r>
      <w:r w:rsidR="003452E2">
        <w:t xml:space="preserve"> (New York: Broadway Books).</w:t>
      </w:r>
    </w:p>
    <w:p w:rsidR="00C10D58" w:rsidRDefault="00C10D58" w:rsidP="003452E2">
      <w:pPr>
        <w:pStyle w:val="Reference"/>
        <w:spacing w:line="240" w:lineRule="auto"/>
        <w:ind w:left="0" w:firstLine="0"/>
      </w:pPr>
    </w:p>
    <w:p w:rsidR="00C10D58" w:rsidRPr="00C10D58" w:rsidRDefault="00C10D58" w:rsidP="003452E2">
      <w:pPr>
        <w:pStyle w:val="Reference"/>
        <w:spacing w:line="240" w:lineRule="auto"/>
        <w:ind w:left="0" w:firstLine="0"/>
      </w:pPr>
      <w:r>
        <w:t xml:space="preserve">Tosh, J. (2008), </w:t>
      </w:r>
      <w:r>
        <w:rPr>
          <w:i/>
        </w:rPr>
        <w:t>Why History Matters</w:t>
      </w:r>
      <w:r>
        <w:t xml:space="preserve"> (Basingstoke: Palgrave Macmillan).</w:t>
      </w:r>
    </w:p>
    <w:p w:rsidR="003452E2" w:rsidRDefault="003452E2" w:rsidP="00DA2A51">
      <w:pPr>
        <w:pStyle w:val="Reference"/>
        <w:spacing w:line="240" w:lineRule="auto"/>
        <w:ind w:left="0" w:firstLine="0"/>
      </w:pPr>
    </w:p>
    <w:p w:rsidR="00302A5F" w:rsidRPr="006E0299" w:rsidRDefault="00705AF2" w:rsidP="006D3257">
      <w:pPr>
        <w:spacing w:line="240" w:lineRule="auto"/>
        <w:ind w:firstLine="0"/>
        <w:rPr>
          <w:lang w:val="en-AU"/>
        </w:rPr>
      </w:pPr>
      <w:r>
        <w:lastRenderedPageBreak/>
        <w:t xml:space="preserve">Zan, L. (1994), “Toward a History of Accounting Histories: Perspectives from the Italian Tradition”, </w:t>
      </w:r>
      <w:r>
        <w:rPr>
          <w:i/>
        </w:rPr>
        <w:t>European Accounting Review</w:t>
      </w:r>
      <w:r>
        <w:t>, Vol. 3, No. 2</w:t>
      </w:r>
      <w:r w:rsidR="00A17E2D">
        <w:t xml:space="preserve">: </w:t>
      </w:r>
      <w:r>
        <w:t>255-307.</w:t>
      </w:r>
    </w:p>
    <w:p w:rsidR="00734B6E" w:rsidRPr="006E0299" w:rsidRDefault="00734B6E" w:rsidP="00734B6E">
      <w:pPr>
        <w:ind w:firstLine="0"/>
        <w:rPr>
          <w:lang w:val="en-AU"/>
        </w:rPr>
      </w:pPr>
    </w:p>
    <w:sectPr w:rsidR="00734B6E" w:rsidRPr="006E0299" w:rsidSect="009B6F3D">
      <w:headerReference w:type="default" r:id="rId17"/>
      <w:footerReference w:type="default" r:id="rId1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ED" w:rsidRDefault="002417ED">
      <w:r>
        <w:separator/>
      </w:r>
    </w:p>
  </w:endnote>
  <w:endnote w:type="continuationSeparator" w:id="0">
    <w:p w:rsidR="002417ED" w:rsidRDefault="002417ED">
      <w:r>
        <w:continuationSeparator/>
      </w:r>
    </w:p>
  </w:endnote>
  <w:endnote w:type="continuationNotice" w:id="1">
    <w:p w:rsidR="002417ED" w:rsidRDefault="002417ED">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liss2-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1A" w:rsidRDefault="00B663C3" w:rsidP="00395318">
    <w:pPr>
      <w:pStyle w:val="Footer"/>
      <w:framePr w:wrap="around" w:vAnchor="text" w:hAnchor="margin" w:xAlign="right" w:y="1"/>
      <w:rPr>
        <w:rStyle w:val="PageNumber"/>
      </w:rPr>
    </w:pPr>
    <w:r>
      <w:rPr>
        <w:rStyle w:val="PageNumber"/>
      </w:rPr>
      <w:fldChar w:fldCharType="begin"/>
    </w:r>
    <w:r w:rsidR="00643B1A">
      <w:rPr>
        <w:rStyle w:val="PageNumber"/>
      </w:rPr>
      <w:instrText xml:space="preserve">PAGE  </w:instrText>
    </w:r>
    <w:r>
      <w:rPr>
        <w:rStyle w:val="PageNumber"/>
      </w:rPr>
      <w:fldChar w:fldCharType="end"/>
    </w:r>
  </w:p>
  <w:p w:rsidR="00643B1A" w:rsidRDefault="00643B1A" w:rsidP="008A4B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1A" w:rsidRDefault="00643B1A" w:rsidP="009B6F3D">
    <w:pPr>
      <w:pStyle w:val="Footer"/>
      <w:spacing w:line="240" w:lineRule="auto"/>
      <w:ind w:firstLine="0"/>
      <w:jc w:val="right"/>
    </w:pPr>
  </w:p>
  <w:p w:rsidR="00643B1A" w:rsidRDefault="00643B1A" w:rsidP="009B6F3D">
    <w:pPr>
      <w:pStyle w:val="Footer"/>
      <w:spacing w:line="240" w:lineRule="auto"/>
      <w:ind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1A" w:rsidRDefault="00643B1A" w:rsidP="009B6F3D">
    <w:pPr>
      <w:pStyle w:val="Footer"/>
      <w:spacing w:line="240" w:lineRule="auto"/>
      <w:ind w:firstLine="0"/>
      <w:jc w:val="right"/>
    </w:pPr>
  </w:p>
  <w:p w:rsidR="00643B1A" w:rsidRDefault="00B663C3" w:rsidP="009B6F3D">
    <w:pPr>
      <w:pStyle w:val="Footer"/>
      <w:spacing w:line="240" w:lineRule="auto"/>
      <w:ind w:firstLine="0"/>
      <w:jc w:val="right"/>
    </w:pPr>
    <w:r>
      <w:fldChar w:fldCharType="begin"/>
    </w:r>
    <w:r w:rsidR="00643B1A">
      <w:instrText xml:space="preserve"> PAGE   \* MERGEFORMAT </w:instrText>
    </w:r>
    <w:r>
      <w:fldChar w:fldCharType="separate"/>
    </w:r>
    <w:r w:rsidR="00B9791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ED" w:rsidRDefault="002417ED">
      <w:r>
        <w:separator/>
      </w:r>
    </w:p>
  </w:footnote>
  <w:footnote w:type="continuationSeparator" w:id="0">
    <w:p w:rsidR="002417ED" w:rsidRDefault="002417ED">
      <w:r>
        <w:continuationSeparator/>
      </w:r>
    </w:p>
  </w:footnote>
  <w:footnote w:type="continuationNotice" w:id="1">
    <w:p w:rsidR="002417ED" w:rsidRDefault="002417ED">
      <w:pPr>
        <w:spacing w:line="240" w:lineRule="auto"/>
      </w:pPr>
    </w:p>
  </w:footnote>
  <w:footnote w:id="2">
    <w:p w:rsidR="00DF7C8D" w:rsidRPr="00CE20A6" w:rsidRDefault="00DF7C8D">
      <w:pPr>
        <w:pStyle w:val="FootnoteText"/>
        <w:rPr>
          <w:lang w:val="en-AU"/>
        </w:rPr>
      </w:pPr>
      <w:r>
        <w:rPr>
          <w:rStyle w:val="FootnoteReference"/>
        </w:rPr>
        <w:footnoteRef/>
      </w:r>
      <w:r>
        <w:t xml:space="preserve"> O</w:t>
      </w:r>
      <w:r w:rsidRPr="00DF7C8D">
        <w:t>ften described as “the rudest man in Britain” [Cooke, 2012]</w:t>
      </w:r>
      <w:r>
        <w:t>.</w:t>
      </w:r>
    </w:p>
  </w:footnote>
  <w:footnote w:id="3">
    <w:p w:rsidR="00643B1A" w:rsidRDefault="00643B1A">
      <w:pPr>
        <w:pStyle w:val="FootnoteText"/>
      </w:pPr>
      <w:r>
        <w:rPr>
          <w:rStyle w:val="FootnoteReference"/>
        </w:rPr>
        <w:footnoteRef/>
      </w:r>
      <w:r>
        <w:t xml:space="preserve"> This is not the newspaper based in London but rather a publication of the Communist Party of Australia. Gleeson-White [2011, p. 194] misquotes Enron’s sales in 1996 as having been US$2.3 billion, whereas her source gives the sales as US$13.2 billion.</w:t>
      </w:r>
    </w:p>
  </w:footnote>
  <w:footnote w:id="4">
    <w:p w:rsidR="00643B1A" w:rsidRPr="009B1DF0" w:rsidRDefault="00643B1A">
      <w:pPr>
        <w:pStyle w:val="FootnoteText"/>
        <w:rPr>
          <w:lang w:val="en-AU"/>
        </w:rPr>
      </w:pPr>
      <w:r>
        <w:rPr>
          <w:rStyle w:val="FootnoteReference"/>
        </w:rPr>
        <w:footnoteRef/>
      </w:r>
      <w:r>
        <w:t xml:space="preserve"> </w:t>
      </w:r>
      <w:r w:rsidRPr="009B1DF0">
        <w:rPr>
          <w:color w:val="222222"/>
          <w:shd w:val="clear" w:color="auto" w:fill="FFFFFF"/>
        </w:rPr>
        <w:t xml:space="preserve">Ferguson himself drew </w:t>
      </w:r>
      <w:r>
        <w:rPr>
          <w:color w:val="222222"/>
          <w:shd w:val="clear" w:color="auto" w:fill="FFFFFF"/>
        </w:rPr>
        <w:t xml:space="preserve">all his </w:t>
      </w:r>
      <w:r w:rsidRPr="009B1DF0">
        <w:rPr>
          <w:color w:val="222222"/>
          <w:shd w:val="clear" w:color="auto" w:fill="FFFFFF"/>
        </w:rPr>
        <w:t xml:space="preserve">material for the section of his book about Enron </w:t>
      </w:r>
      <w:r>
        <w:rPr>
          <w:color w:val="222222"/>
          <w:shd w:val="clear" w:color="auto" w:fill="FFFFFF"/>
        </w:rPr>
        <w:t>[</w:t>
      </w:r>
      <w:r w:rsidRPr="009B1DF0">
        <w:rPr>
          <w:color w:val="222222"/>
          <w:shd w:val="clear" w:color="auto" w:fill="FFFFFF"/>
        </w:rPr>
        <w:t>Ferguson, 2008</w:t>
      </w:r>
      <w:r w:rsidR="00895ADA">
        <w:rPr>
          <w:color w:val="222222"/>
          <w:shd w:val="clear" w:color="auto" w:fill="FFFFFF"/>
        </w:rPr>
        <w:t xml:space="preserve">, pp. </w:t>
      </w:r>
      <w:r w:rsidR="00A17E2D">
        <w:rPr>
          <w:color w:val="222222"/>
          <w:shd w:val="clear" w:color="auto" w:fill="FFFFFF"/>
        </w:rPr>
        <w:t xml:space="preserve"> </w:t>
      </w:r>
      <w:r w:rsidRPr="009B1DF0">
        <w:rPr>
          <w:color w:val="222222"/>
          <w:shd w:val="clear" w:color="auto" w:fill="FFFFFF"/>
        </w:rPr>
        <w:t xml:space="preserve"> 169-175</w:t>
      </w:r>
      <w:r>
        <w:rPr>
          <w:color w:val="222222"/>
          <w:shd w:val="clear" w:color="auto" w:fill="FFFFFF"/>
        </w:rPr>
        <w:t>]</w:t>
      </w:r>
      <w:r w:rsidRPr="009B1DF0">
        <w:rPr>
          <w:color w:val="222222"/>
          <w:shd w:val="clear" w:color="auto" w:fill="FFFFFF"/>
        </w:rPr>
        <w:t xml:space="preserve"> from the studies of McLean and Elkind </w:t>
      </w:r>
      <w:r>
        <w:rPr>
          <w:color w:val="222222"/>
          <w:shd w:val="clear" w:color="auto" w:fill="FFFFFF"/>
        </w:rPr>
        <w:t>[</w:t>
      </w:r>
      <w:r w:rsidRPr="009B1DF0">
        <w:rPr>
          <w:color w:val="222222"/>
          <w:shd w:val="clear" w:color="auto" w:fill="FFFFFF"/>
        </w:rPr>
        <w:t>2003</w:t>
      </w:r>
      <w:r>
        <w:rPr>
          <w:color w:val="222222"/>
          <w:shd w:val="clear" w:color="auto" w:fill="FFFFFF"/>
        </w:rPr>
        <w:t>]</w:t>
      </w:r>
      <w:r w:rsidRPr="009B1DF0">
        <w:rPr>
          <w:color w:val="222222"/>
          <w:shd w:val="clear" w:color="auto" w:fill="FFFFFF"/>
        </w:rPr>
        <w:t xml:space="preserve"> and Swartz </w:t>
      </w:r>
      <w:r>
        <w:rPr>
          <w:color w:val="222222"/>
          <w:shd w:val="clear" w:color="auto" w:fill="FFFFFF"/>
        </w:rPr>
        <w:t>[</w:t>
      </w:r>
      <w:r w:rsidRPr="009B1DF0">
        <w:rPr>
          <w:color w:val="222222"/>
          <w:shd w:val="clear" w:color="auto" w:fill="FFFFFF"/>
        </w:rPr>
        <w:t>2003</w:t>
      </w:r>
      <w:r>
        <w:rPr>
          <w:color w:val="222222"/>
          <w:shd w:val="clear" w:color="auto" w:fill="FFFFFF"/>
        </w:rPr>
        <w:t>].</w:t>
      </w:r>
    </w:p>
  </w:footnote>
  <w:footnote w:id="5">
    <w:p w:rsidR="00643B1A" w:rsidRDefault="00643B1A" w:rsidP="00DF7C8D">
      <w:pPr>
        <w:pStyle w:val="FootnoteText"/>
        <w:spacing w:after="0"/>
      </w:pPr>
      <w:r>
        <w:rPr>
          <w:rStyle w:val="FootnoteReference"/>
        </w:rPr>
        <w:footnoteRef/>
      </w:r>
      <w:r>
        <w:t xml:space="preserve"> </w:t>
      </w:r>
      <w:r>
        <w:rPr>
          <w:lang w:val="en-AU"/>
        </w:rPr>
        <w:t>Bryce [2003, p. 379] refers to the web page</w:t>
      </w:r>
      <w:r>
        <w:t xml:space="preserve"> </w:t>
      </w:r>
      <w:hyperlink r:id="rId1" w:history="1">
        <w:r w:rsidRPr="00C707EE">
          <w:rPr>
            <w:rStyle w:val="Hyperlink"/>
          </w:rPr>
          <w:t>www.acaus.org/history</w:t>
        </w:r>
      </w:hyperlink>
      <w:r>
        <w:t>, but this link no longer works. The document to which Bryce refers is a paper entitled “History of Accounting” by John R. Alexander, which can be accessed at:</w:t>
      </w:r>
    </w:p>
    <w:p w:rsidR="00643B1A" w:rsidRPr="00DF7C8D" w:rsidRDefault="00643B1A">
      <w:pPr>
        <w:pStyle w:val="FootnoteText"/>
        <w:rPr>
          <w:lang w:val="en-AU"/>
        </w:rPr>
      </w:pPr>
      <w:r w:rsidRPr="009743A4">
        <w:t>http://www.acaus.org/content.aspx?page_id=22&amp;club_id=825456&amp;module_id=39138</w:t>
      </w:r>
    </w:p>
  </w:footnote>
  <w:footnote w:id="6">
    <w:p w:rsidR="00643B1A" w:rsidRPr="00A33B49" w:rsidRDefault="00643B1A" w:rsidP="00734B6E">
      <w:pPr>
        <w:pStyle w:val="FootnoteText"/>
      </w:pPr>
      <w:r>
        <w:rPr>
          <w:rStyle w:val="FootnoteReference"/>
        </w:rPr>
        <w:footnoteRef/>
      </w:r>
      <w:r>
        <w:t xml:space="preserve"> Both these books have attracted reviews in the journal </w:t>
      </w:r>
      <w:r>
        <w:rPr>
          <w:i/>
        </w:rPr>
        <w:t>Accounting History</w:t>
      </w:r>
      <w:r>
        <w:t xml:space="preserve"> [Carnegie, 2005a, 2005b].</w:t>
      </w:r>
    </w:p>
  </w:footnote>
  <w:footnote w:id="7">
    <w:p w:rsidR="00643B1A" w:rsidRDefault="00643B1A" w:rsidP="00734B6E">
      <w:pPr>
        <w:pStyle w:val="FootnoteText"/>
      </w:pPr>
      <w:r>
        <w:rPr>
          <w:rStyle w:val="FootnoteReference"/>
        </w:rPr>
        <w:footnoteRef/>
      </w:r>
      <w:r>
        <w:t xml:space="preserve"> This documentary, broadcast on BBC Two on 23 July 2002 under the title “No Accounting for Greed”, introduced a UK angle to the Andersen story by discussing Andersen’s involvement with the collapse of the DeLorean car company in 1983.  This led to the firm’s being banned from public sector advisory work in Britain, a ban that continued until the election of a Labour government in 1997.   See also Hughes [2002].</w:t>
      </w:r>
    </w:p>
  </w:footnote>
  <w:footnote w:id="8">
    <w:p w:rsidR="00895ADA" w:rsidRPr="00CE20A6" w:rsidRDefault="00895ADA">
      <w:pPr>
        <w:pStyle w:val="FootnoteText"/>
        <w:rPr>
          <w:lang w:val="en-AU"/>
        </w:rPr>
      </w:pPr>
      <w:r>
        <w:rPr>
          <w:rStyle w:val="FootnoteReference"/>
        </w:rPr>
        <w:footnoteRef/>
      </w:r>
      <w:r>
        <w:t xml:space="preserve"> </w:t>
      </w:r>
      <w:r w:rsidRPr="00895ADA">
        <w:t>Brewster [2003, p. 7] goes so far as to describe May as one of “the giants of early-twentieth century U.S. accounting firms”.</w:t>
      </w:r>
    </w:p>
  </w:footnote>
  <w:footnote w:id="9">
    <w:p w:rsidR="00643B1A" w:rsidRDefault="00643B1A" w:rsidP="00734B6E">
      <w:pPr>
        <w:pStyle w:val="FootnoteText"/>
      </w:pPr>
      <w:r>
        <w:rPr>
          <w:rStyle w:val="FootnoteReference"/>
        </w:rPr>
        <w:footnoteRef/>
      </w:r>
      <w:r>
        <w:t xml:space="preserve"> Arnold and McCartney [2003] have pointed out the extent to which writers using historical material in their arguments often refer uncritically to the same limited number of sources</w:t>
      </w:r>
      <w:r w:rsidRPr="00233F2D">
        <w:t xml:space="preserve"> </w:t>
      </w:r>
      <w:r>
        <w:t>(see Funnell [2007] for a reply to such criticisms).  Sometimes, subsequent writers will assume that a single incident narrated by a source applies more generally in different contexts.</w:t>
      </w:r>
    </w:p>
  </w:footnote>
  <w:footnote w:id="10">
    <w:p w:rsidR="00643B1A" w:rsidRPr="00CC5D1E" w:rsidRDefault="00643B1A">
      <w:pPr>
        <w:pStyle w:val="FootnoteText"/>
      </w:pPr>
      <w:r>
        <w:rPr>
          <w:rStyle w:val="FootnoteReference"/>
        </w:rPr>
        <w:footnoteRef/>
      </w:r>
      <w:r>
        <w:t xml:space="preserve"> One of the authors was asked recently to comment on the omission of any mention of double-entry from a recent BBC series </w:t>
      </w:r>
      <w:r>
        <w:rPr>
          <w:i/>
        </w:rPr>
        <w:t>Andrew Marr’s History of the World</w:t>
      </w:r>
      <w:r>
        <w:t xml:space="preserve">, broadcast in 2012, and his two paragraphs of comment at </w:t>
      </w:r>
      <w:hyperlink r:id="rId2" w:history="1">
        <w:r w:rsidRPr="00627FC0">
          <w:rPr>
            <w:rStyle w:val="Hyperlink"/>
          </w:rPr>
          <w:t>http://www.bbc.co.uk/news/magazine-19662059</w:t>
        </w:r>
      </w:hyperlink>
      <w:r>
        <w:t xml:space="preserve"> were probably read by more people than all his academic publications that year.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ED" w:rsidRDefault="00241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1A" w:rsidRDefault="00643B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2C"/>
    <w:rsid w:val="0004738F"/>
    <w:rsid w:val="00050DA9"/>
    <w:rsid w:val="00053F99"/>
    <w:rsid w:val="00055801"/>
    <w:rsid w:val="000623DB"/>
    <w:rsid w:val="00073BB0"/>
    <w:rsid w:val="00090CC8"/>
    <w:rsid w:val="00090D75"/>
    <w:rsid w:val="000B753C"/>
    <w:rsid w:val="001064D3"/>
    <w:rsid w:val="00152F14"/>
    <w:rsid w:val="00155B84"/>
    <w:rsid w:val="00157E5A"/>
    <w:rsid w:val="00164E3E"/>
    <w:rsid w:val="001739CB"/>
    <w:rsid w:val="001A21CE"/>
    <w:rsid w:val="001A279F"/>
    <w:rsid w:val="001D7666"/>
    <w:rsid w:val="001E1F7D"/>
    <w:rsid w:val="001E2653"/>
    <w:rsid w:val="0020772E"/>
    <w:rsid w:val="00214837"/>
    <w:rsid w:val="00223B67"/>
    <w:rsid w:val="00236846"/>
    <w:rsid w:val="002401B9"/>
    <w:rsid w:val="00240F27"/>
    <w:rsid w:val="002417ED"/>
    <w:rsid w:val="00242E1F"/>
    <w:rsid w:val="00252390"/>
    <w:rsid w:val="00264835"/>
    <w:rsid w:val="002718FC"/>
    <w:rsid w:val="00277C85"/>
    <w:rsid w:val="00280EE5"/>
    <w:rsid w:val="002965AA"/>
    <w:rsid w:val="002A576F"/>
    <w:rsid w:val="00302A5F"/>
    <w:rsid w:val="00303336"/>
    <w:rsid w:val="00305DEC"/>
    <w:rsid w:val="00311B26"/>
    <w:rsid w:val="00321EF7"/>
    <w:rsid w:val="00324846"/>
    <w:rsid w:val="0033338F"/>
    <w:rsid w:val="003452E2"/>
    <w:rsid w:val="0035045F"/>
    <w:rsid w:val="003800BB"/>
    <w:rsid w:val="00381E0A"/>
    <w:rsid w:val="003879AE"/>
    <w:rsid w:val="00387DEE"/>
    <w:rsid w:val="00395318"/>
    <w:rsid w:val="003B613A"/>
    <w:rsid w:val="0041409C"/>
    <w:rsid w:val="004224D6"/>
    <w:rsid w:val="00457AC7"/>
    <w:rsid w:val="00461294"/>
    <w:rsid w:val="004A0787"/>
    <w:rsid w:val="004B2244"/>
    <w:rsid w:val="004C1AAC"/>
    <w:rsid w:val="004F10D0"/>
    <w:rsid w:val="00510285"/>
    <w:rsid w:val="00541B1C"/>
    <w:rsid w:val="00550069"/>
    <w:rsid w:val="00597F10"/>
    <w:rsid w:val="005A3E95"/>
    <w:rsid w:val="005A4787"/>
    <w:rsid w:val="005A5A70"/>
    <w:rsid w:val="005A664F"/>
    <w:rsid w:val="005A707D"/>
    <w:rsid w:val="005B459A"/>
    <w:rsid w:val="005B68C4"/>
    <w:rsid w:val="005E10DE"/>
    <w:rsid w:val="005E7B22"/>
    <w:rsid w:val="005F5767"/>
    <w:rsid w:val="00614F5E"/>
    <w:rsid w:val="00617141"/>
    <w:rsid w:val="00625794"/>
    <w:rsid w:val="00643B1A"/>
    <w:rsid w:val="006627EE"/>
    <w:rsid w:val="00665F10"/>
    <w:rsid w:val="0066765B"/>
    <w:rsid w:val="00672FBC"/>
    <w:rsid w:val="00675D3D"/>
    <w:rsid w:val="00697354"/>
    <w:rsid w:val="006C064B"/>
    <w:rsid w:val="006C5F2A"/>
    <w:rsid w:val="006D3257"/>
    <w:rsid w:val="006E0299"/>
    <w:rsid w:val="006E7DA7"/>
    <w:rsid w:val="00705AF2"/>
    <w:rsid w:val="00714766"/>
    <w:rsid w:val="00734B6E"/>
    <w:rsid w:val="00740E0A"/>
    <w:rsid w:val="007514F1"/>
    <w:rsid w:val="00752ECB"/>
    <w:rsid w:val="007A2667"/>
    <w:rsid w:val="007B09DB"/>
    <w:rsid w:val="007D47A2"/>
    <w:rsid w:val="007F15B9"/>
    <w:rsid w:val="008242E1"/>
    <w:rsid w:val="008376F6"/>
    <w:rsid w:val="00841422"/>
    <w:rsid w:val="00852486"/>
    <w:rsid w:val="00853234"/>
    <w:rsid w:val="0088243A"/>
    <w:rsid w:val="00891C47"/>
    <w:rsid w:val="00895ADA"/>
    <w:rsid w:val="008A4B31"/>
    <w:rsid w:val="008B235C"/>
    <w:rsid w:val="008D257A"/>
    <w:rsid w:val="008E71F9"/>
    <w:rsid w:val="00933A4D"/>
    <w:rsid w:val="00940640"/>
    <w:rsid w:val="00945717"/>
    <w:rsid w:val="00954F41"/>
    <w:rsid w:val="009624CE"/>
    <w:rsid w:val="00964E2C"/>
    <w:rsid w:val="00972056"/>
    <w:rsid w:val="009743A4"/>
    <w:rsid w:val="009A73CE"/>
    <w:rsid w:val="009B1DF0"/>
    <w:rsid w:val="009B3E8E"/>
    <w:rsid w:val="009B69B1"/>
    <w:rsid w:val="009B6F3D"/>
    <w:rsid w:val="009C06F0"/>
    <w:rsid w:val="009D5B72"/>
    <w:rsid w:val="009E6297"/>
    <w:rsid w:val="009F7F19"/>
    <w:rsid w:val="00A04F8C"/>
    <w:rsid w:val="00A110D9"/>
    <w:rsid w:val="00A1342D"/>
    <w:rsid w:val="00A15232"/>
    <w:rsid w:val="00A17E2D"/>
    <w:rsid w:val="00A43F00"/>
    <w:rsid w:val="00A44AAE"/>
    <w:rsid w:val="00A44C68"/>
    <w:rsid w:val="00A66944"/>
    <w:rsid w:val="00A811E5"/>
    <w:rsid w:val="00A8455F"/>
    <w:rsid w:val="00AA7186"/>
    <w:rsid w:val="00AA770C"/>
    <w:rsid w:val="00AC094E"/>
    <w:rsid w:val="00AD1404"/>
    <w:rsid w:val="00AD58D1"/>
    <w:rsid w:val="00AE369C"/>
    <w:rsid w:val="00AF1F7D"/>
    <w:rsid w:val="00B01239"/>
    <w:rsid w:val="00B11604"/>
    <w:rsid w:val="00B1350B"/>
    <w:rsid w:val="00B338B5"/>
    <w:rsid w:val="00B663C3"/>
    <w:rsid w:val="00B86664"/>
    <w:rsid w:val="00B9791F"/>
    <w:rsid w:val="00BB08C8"/>
    <w:rsid w:val="00BB7684"/>
    <w:rsid w:val="00BC4222"/>
    <w:rsid w:val="00C077EF"/>
    <w:rsid w:val="00C10D58"/>
    <w:rsid w:val="00C14569"/>
    <w:rsid w:val="00C17852"/>
    <w:rsid w:val="00C27639"/>
    <w:rsid w:val="00C31DEB"/>
    <w:rsid w:val="00C80A6A"/>
    <w:rsid w:val="00C82180"/>
    <w:rsid w:val="00C86684"/>
    <w:rsid w:val="00CA7918"/>
    <w:rsid w:val="00CB21C6"/>
    <w:rsid w:val="00CB5447"/>
    <w:rsid w:val="00CC2939"/>
    <w:rsid w:val="00CC2AD6"/>
    <w:rsid w:val="00CC5D1E"/>
    <w:rsid w:val="00CD01BD"/>
    <w:rsid w:val="00CD01DA"/>
    <w:rsid w:val="00CD0D88"/>
    <w:rsid w:val="00CD666C"/>
    <w:rsid w:val="00CE116B"/>
    <w:rsid w:val="00CE20A6"/>
    <w:rsid w:val="00CE5BD3"/>
    <w:rsid w:val="00CF04C7"/>
    <w:rsid w:val="00D00851"/>
    <w:rsid w:val="00D26237"/>
    <w:rsid w:val="00D34A3C"/>
    <w:rsid w:val="00D46EEB"/>
    <w:rsid w:val="00D52714"/>
    <w:rsid w:val="00D57CF0"/>
    <w:rsid w:val="00D76C57"/>
    <w:rsid w:val="00D86989"/>
    <w:rsid w:val="00DA2A51"/>
    <w:rsid w:val="00DA7744"/>
    <w:rsid w:val="00DB3371"/>
    <w:rsid w:val="00DB5CF8"/>
    <w:rsid w:val="00DB6BC7"/>
    <w:rsid w:val="00DE195A"/>
    <w:rsid w:val="00DE3D8F"/>
    <w:rsid w:val="00DF7C8D"/>
    <w:rsid w:val="00E14092"/>
    <w:rsid w:val="00E1434D"/>
    <w:rsid w:val="00E25229"/>
    <w:rsid w:val="00E33B39"/>
    <w:rsid w:val="00E37601"/>
    <w:rsid w:val="00E543AB"/>
    <w:rsid w:val="00E74689"/>
    <w:rsid w:val="00EA20B7"/>
    <w:rsid w:val="00EA3E4B"/>
    <w:rsid w:val="00EA4516"/>
    <w:rsid w:val="00EA6F88"/>
    <w:rsid w:val="00EB6171"/>
    <w:rsid w:val="00ED0661"/>
    <w:rsid w:val="00EE4BF1"/>
    <w:rsid w:val="00EF442A"/>
    <w:rsid w:val="00F32CBC"/>
    <w:rsid w:val="00F372EB"/>
    <w:rsid w:val="00F6788A"/>
    <w:rsid w:val="00F7362A"/>
    <w:rsid w:val="00F7623B"/>
    <w:rsid w:val="00F779D0"/>
    <w:rsid w:val="00FB6C61"/>
    <w:rsid w:val="00FC2DDA"/>
    <w:rsid w:val="00FE2C7E"/>
    <w:rsid w:val="00FE5C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D"/>
    <w:pPr>
      <w:spacing w:line="480" w:lineRule="auto"/>
      <w:ind w:firstLine="357"/>
      <w:jc w:val="both"/>
    </w:pPr>
    <w:rPr>
      <w:rFonts w:eastAsia="Times New Roman"/>
      <w:sz w:val="24"/>
      <w:szCs w:val="24"/>
      <w:lang w:val="en-GB"/>
    </w:rPr>
  </w:style>
  <w:style w:type="paragraph" w:styleId="Heading2">
    <w:name w:val="heading 2"/>
    <w:basedOn w:val="Normal"/>
    <w:next w:val="Normal"/>
    <w:qFormat/>
    <w:rsid w:val="00734B6E"/>
    <w:pPr>
      <w:keepNext/>
      <w:spacing w:before="120" w:after="120" w:line="240" w:lineRule="auto"/>
      <w:ind w:firstLine="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F3D"/>
    <w:pPr>
      <w:spacing w:before="240" w:after="60" w:line="240" w:lineRule="auto"/>
      <w:ind w:firstLine="0"/>
      <w:jc w:val="center"/>
      <w:outlineLvl w:val="0"/>
    </w:pPr>
    <w:rPr>
      <w:rFonts w:cs="Arial"/>
      <w:b/>
      <w:bCs/>
      <w:kern w:val="28"/>
      <w:sz w:val="32"/>
      <w:szCs w:val="32"/>
    </w:rPr>
  </w:style>
  <w:style w:type="paragraph" w:customStyle="1" w:styleId="Coverdata">
    <w:name w:val="Cover data"/>
    <w:basedOn w:val="Normal"/>
    <w:rsid w:val="00964E2C"/>
    <w:pPr>
      <w:spacing w:line="240" w:lineRule="auto"/>
      <w:ind w:firstLine="0"/>
    </w:pPr>
  </w:style>
  <w:style w:type="table" w:styleId="TableGrid">
    <w:name w:val="Table Grid"/>
    <w:basedOn w:val="TableNormal"/>
    <w:rsid w:val="00964E2C"/>
    <w:pPr>
      <w:spacing w:after="240" w:line="360" w:lineRule="auto"/>
      <w:ind w:firstLine="7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4E2C"/>
    <w:rPr>
      <w:color w:val="0000FF"/>
      <w:u w:val="single"/>
    </w:rPr>
  </w:style>
  <w:style w:type="paragraph" w:customStyle="1" w:styleId="Indenttext">
    <w:name w:val="Indent text"/>
    <w:basedOn w:val="Normal"/>
    <w:next w:val="Normal"/>
    <w:link w:val="IndenttextChar"/>
    <w:rsid w:val="00734B6E"/>
    <w:pPr>
      <w:spacing w:after="240" w:line="240" w:lineRule="auto"/>
      <w:ind w:left="720" w:right="720" w:firstLine="0"/>
      <w:contextualSpacing/>
    </w:pPr>
  </w:style>
  <w:style w:type="paragraph" w:styleId="FootnoteText">
    <w:name w:val="footnote text"/>
    <w:basedOn w:val="Normal"/>
    <w:semiHidden/>
    <w:rsid w:val="00734B6E"/>
    <w:pPr>
      <w:spacing w:after="200" w:line="240" w:lineRule="auto"/>
      <w:ind w:firstLine="0"/>
    </w:pPr>
    <w:rPr>
      <w:sz w:val="20"/>
      <w:szCs w:val="20"/>
    </w:rPr>
  </w:style>
  <w:style w:type="character" w:styleId="FootnoteReference">
    <w:name w:val="footnote reference"/>
    <w:semiHidden/>
    <w:rsid w:val="00734B6E"/>
    <w:rPr>
      <w:vertAlign w:val="superscript"/>
    </w:rPr>
  </w:style>
  <w:style w:type="character" w:customStyle="1" w:styleId="IndenttextChar">
    <w:name w:val="Indent text Char"/>
    <w:link w:val="Indenttext"/>
    <w:rsid w:val="00734B6E"/>
    <w:rPr>
      <w:sz w:val="24"/>
      <w:szCs w:val="24"/>
      <w:lang w:val="en-GB" w:eastAsia="en-AU" w:bidi="ar-SA"/>
    </w:rPr>
  </w:style>
  <w:style w:type="character" w:styleId="Emphasis">
    <w:name w:val="Emphasis"/>
    <w:qFormat/>
    <w:rsid w:val="00734B6E"/>
    <w:rPr>
      <w:i/>
      <w:iCs/>
    </w:rPr>
  </w:style>
  <w:style w:type="paragraph" w:styleId="Footer">
    <w:name w:val="footer"/>
    <w:basedOn w:val="Normal"/>
    <w:link w:val="FooterChar"/>
    <w:uiPriority w:val="99"/>
    <w:rsid w:val="008A4B31"/>
    <w:pPr>
      <w:tabs>
        <w:tab w:val="center" w:pos="4153"/>
        <w:tab w:val="right" w:pos="8306"/>
      </w:tabs>
    </w:pPr>
  </w:style>
  <w:style w:type="character" w:styleId="PageNumber">
    <w:name w:val="page number"/>
    <w:basedOn w:val="DefaultParagraphFont"/>
    <w:rsid w:val="008A4B31"/>
  </w:style>
  <w:style w:type="paragraph" w:customStyle="1" w:styleId="Reference">
    <w:name w:val="Reference"/>
    <w:basedOn w:val="Normal"/>
    <w:link w:val="ReferenceChar"/>
    <w:rsid w:val="00A811E5"/>
    <w:pPr>
      <w:ind w:left="720" w:hanging="720"/>
    </w:pPr>
  </w:style>
  <w:style w:type="character" w:customStyle="1" w:styleId="st">
    <w:name w:val="st"/>
    <w:basedOn w:val="DefaultParagraphFont"/>
    <w:rsid w:val="005A3E95"/>
  </w:style>
  <w:style w:type="character" w:customStyle="1" w:styleId="ReferenceChar">
    <w:name w:val="Reference Char"/>
    <w:link w:val="Reference"/>
    <w:rsid w:val="00264835"/>
    <w:rPr>
      <w:sz w:val="24"/>
      <w:szCs w:val="24"/>
      <w:lang w:val="en-GB" w:eastAsia="en-AU" w:bidi="ar-SA"/>
    </w:rPr>
  </w:style>
  <w:style w:type="paragraph" w:styleId="Header">
    <w:name w:val="header"/>
    <w:basedOn w:val="Normal"/>
    <w:link w:val="HeaderChar"/>
    <w:uiPriority w:val="99"/>
    <w:unhideWhenUsed/>
    <w:rsid w:val="009B6F3D"/>
    <w:pPr>
      <w:tabs>
        <w:tab w:val="center" w:pos="4513"/>
        <w:tab w:val="right" w:pos="9026"/>
      </w:tabs>
    </w:pPr>
  </w:style>
  <w:style w:type="character" w:customStyle="1" w:styleId="HeaderChar">
    <w:name w:val="Header Char"/>
    <w:link w:val="Header"/>
    <w:uiPriority w:val="99"/>
    <w:rsid w:val="009B6F3D"/>
    <w:rPr>
      <w:rFonts w:eastAsia="Times New Roman"/>
      <w:sz w:val="24"/>
      <w:szCs w:val="24"/>
      <w:lang w:eastAsia="en-AU"/>
    </w:rPr>
  </w:style>
  <w:style w:type="character" w:customStyle="1" w:styleId="FooterChar">
    <w:name w:val="Footer Char"/>
    <w:link w:val="Footer"/>
    <w:uiPriority w:val="99"/>
    <w:rsid w:val="009B6F3D"/>
    <w:rPr>
      <w:rFonts w:eastAsia="Times New Roman"/>
      <w:sz w:val="24"/>
      <w:szCs w:val="24"/>
      <w:lang w:eastAsia="en-AU"/>
    </w:rPr>
  </w:style>
  <w:style w:type="paragraph" w:styleId="BalloonText">
    <w:name w:val="Balloon Text"/>
    <w:basedOn w:val="Normal"/>
    <w:link w:val="BalloonTextChar"/>
    <w:uiPriority w:val="99"/>
    <w:semiHidden/>
    <w:unhideWhenUsed/>
    <w:rsid w:val="009B6F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B6F3D"/>
    <w:rPr>
      <w:rFonts w:ascii="Tahoma" w:eastAsia="Times New Roman" w:hAnsi="Tahoma" w:cs="Tahoma"/>
      <w:sz w:val="16"/>
      <w:szCs w:val="16"/>
      <w:lang w:eastAsia="en-AU"/>
    </w:rPr>
  </w:style>
  <w:style w:type="character" w:styleId="FollowedHyperlink">
    <w:name w:val="FollowedHyperlink"/>
    <w:uiPriority w:val="99"/>
    <w:semiHidden/>
    <w:unhideWhenUsed/>
    <w:rsid w:val="00617141"/>
    <w:rPr>
      <w:color w:val="800080"/>
      <w:u w:val="single"/>
    </w:rPr>
  </w:style>
  <w:style w:type="paragraph" w:customStyle="1" w:styleId="Indent">
    <w:name w:val="Indent"/>
    <w:basedOn w:val="Normal"/>
    <w:qFormat/>
    <w:rsid w:val="009B69B1"/>
    <w:pPr>
      <w:spacing w:after="240" w:line="240" w:lineRule="auto"/>
      <w:ind w:left="357" w:right="357" w:firstLine="0"/>
    </w:pPr>
  </w:style>
  <w:style w:type="paragraph" w:styleId="Revision">
    <w:name w:val="Revision"/>
    <w:hidden/>
    <w:uiPriority w:val="99"/>
    <w:semiHidden/>
    <w:rsid w:val="002417ED"/>
    <w:rPr>
      <w:rFonts w:eastAsia="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D"/>
    <w:pPr>
      <w:spacing w:line="480" w:lineRule="auto"/>
      <w:ind w:firstLine="357"/>
      <w:jc w:val="both"/>
    </w:pPr>
    <w:rPr>
      <w:rFonts w:eastAsia="Times New Roman"/>
      <w:sz w:val="24"/>
      <w:szCs w:val="24"/>
      <w:lang w:val="en-GB"/>
    </w:rPr>
  </w:style>
  <w:style w:type="paragraph" w:styleId="Heading2">
    <w:name w:val="heading 2"/>
    <w:basedOn w:val="Normal"/>
    <w:next w:val="Normal"/>
    <w:qFormat/>
    <w:rsid w:val="00734B6E"/>
    <w:pPr>
      <w:keepNext/>
      <w:spacing w:before="120" w:after="120" w:line="240" w:lineRule="auto"/>
      <w:ind w:firstLine="0"/>
      <w:outlineLvl w:val="1"/>
    </w:pPr>
    <w:rPr>
      <w:rFonts w:cs="Arial"/>
      <w:bCs/>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B6F3D"/>
    <w:pPr>
      <w:spacing w:before="240" w:after="60" w:line="240" w:lineRule="auto"/>
      <w:ind w:firstLine="0"/>
      <w:jc w:val="center"/>
      <w:outlineLvl w:val="0"/>
    </w:pPr>
    <w:rPr>
      <w:rFonts w:cs="Arial"/>
      <w:b/>
      <w:bCs/>
      <w:kern w:val="28"/>
      <w:sz w:val="32"/>
      <w:szCs w:val="32"/>
    </w:rPr>
  </w:style>
  <w:style w:type="paragraph" w:customStyle="1" w:styleId="Coverdata">
    <w:name w:val="Cover data"/>
    <w:basedOn w:val="Normal"/>
    <w:rsid w:val="00964E2C"/>
    <w:pPr>
      <w:spacing w:line="240" w:lineRule="auto"/>
      <w:ind w:firstLine="0"/>
    </w:pPr>
  </w:style>
  <w:style w:type="table" w:styleId="TableGrid">
    <w:name w:val="Table Grid"/>
    <w:basedOn w:val="TableNormal"/>
    <w:rsid w:val="00964E2C"/>
    <w:pPr>
      <w:spacing w:after="240" w:line="360" w:lineRule="auto"/>
      <w:ind w:firstLine="7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4E2C"/>
    <w:rPr>
      <w:color w:val="0000FF"/>
      <w:u w:val="single"/>
    </w:rPr>
  </w:style>
  <w:style w:type="paragraph" w:customStyle="1" w:styleId="Indenttext">
    <w:name w:val="Indent text"/>
    <w:basedOn w:val="Normal"/>
    <w:next w:val="Normal"/>
    <w:link w:val="IndenttextChar"/>
    <w:rsid w:val="00734B6E"/>
    <w:pPr>
      <w:spacing w:after="240" w:line="240" w:lineRule="auto"/>
      <w:ind w:left="720" w:right="720" w:firstLine="0"/>
      <w:contextualSpacing/>
    </w:pPr>
  </w:style>
  <w:style w:type="paragraph" w:styleId="FootnoteText">
    <w:name w:val="footnote text"/>
    <w:basedOn w:val="Normal"/>
    <w:semiHidden/>
    <w:rsid w:val="00734B6E"/>
    <w:pPr>
      <w:spacing w:after="200" w:line="240" w:lineRule="auto"/>
      <w:ind w:firstLine="0"/>
    </w:pPr>
    <w:rPr>
      <w:sz w:val="20"/>
      <w:szCs w:val="20"/>
    </w:rPr>
  </w:style>
  <w:style w:type="character" w:styleId="FootnoteReference">
    <w:name w:val="footnote reference"/>
    <w:semiHidden/>
    <w:rsid w:val="00734B6E"/>
    <w:rPr>
      <w:vertAlign w:val="superscript"/>
    </w:rPr>
  </w:style>
  <w:style w:type="character" w:customStyle="1" w:styleId="IndenttextChar">
    <w:name w:val="Indent text Char"/>
    <w:link w:val="Indenttext"/>
    <w:rsid w:val="00734B6E"/>
    <w:rPr>
      <w:sz w:val="24"/>
      <w:szCs w:val="24"/>
      <w:lang w:val="en-GB" w:eastAsia="en-AU" w:bidi="ar-SA"/>
    </w:rPr>
  </w:style>
  <w:style w:type="character" w:styleId="Emphasis">
    <w:name w:val="Emphasis"/>
    <w:qFormat/>
    <w:rsid w:val="00734B6E"/>
    <w:rPr>
      <w:i/>
      <w:iCs/>
    </w:rPr>
  </w:style>
  <w:style w:type="paragraph" w:styleId="Footer">
    <w:name w:val="footer"/>
    <w:basedOn w:val="Normal"/>
    <w:link w:val="FooterChar"/>
    <w:uiPriority w:val="99"/>
    <w:rsid w:val="008A4B31"/>
    <w:pPr>
      <w:tabs>
        <w:tab w:val="center" w:pos="4153"/>
        <w:tab w:val="right" w:pos="8306"/>
      </w:tabs>
    </w:pPr>
  </w:style>
  <w:style w:type="character" w:styleId="PageNumber">
    <w:name w:val="page number"/>
    <w:basedOn w:val="DefaultParagraphFont"/>
    <w:rsid w:val="008A4B31"/>
  </w:style>
  <w:style w:type="paragraph" w:customStyle="1" w:styleId="Reference">
    <w:name w:val="Reference"/>
    <w:basedOn w:val="Normal"/>
    <w:link w:val="ReferenceChar"/>
    <w:rsid w:val="00A811E5"/>
    <w:pPr>
      <w:ind w:left="720" w:hanging="720"/>
    </w:pPr>
  </w:style>
  <w:style w:type="character" w:customStyle="1" w:styleId="st">
    <w:name w:val="st"/>
    <w:basedOn w:val="DefaultParagraphFont"/>
    <w:rsid w:val="005A3E95"/>
  </w:style>
  <w:style w:type="character" w:customStyle="1" w:styleId="ReferenceChar">
    <w:name w:val="Reference Char"/>
    <w:link w:val="Reference"/>
    <w:rsid w:val="00264835"/>
    <w:rPr>
      <w:sz w:val="24"/>
      <w:szCs w:val="24"/>
      <w:lang w:val="en-GB" w:eastAsia="en-AU" w:bidi="ar-SA"/>
    </w:rPr>
  </w:style>
  <w:style w:type="paragraph" w:styleId="Header">
    <w:name w:val="header"/>
    <w:basedOn w:val="Normal"/>
    <w:link w:val="HeaderChar"/>
    <w:uiPriority w:val="99"/>
    <w:unhideWhenUsed/>
    <w:rsid w:val="009B6F3D"/>
    <w:pPr>
      <w:tabs>
        <w:tab w:val="center" w:pos="4513"/>
        <w:tab w:val="right" w:pos="9026"/>
      </w:tabs>
    </w:pPr>
  </w:style>
  <w:style w:type="character" w:customStyle="1" w:styleId="HeaderChar">
    <w:name w:val="Header Char"/>
    <w:link w:val="Header"/>
    <w:uiPriority w:val="99"/>
    <w:rsid w:val="009B6F3D"/>
    <w:rPr>
      <w:rFonts w:eastAsia="Times New Roman"/>
      <w:sz w:val="24"/>
      <w:szCs w:val="24"/>
      <w:lang w:eastAsia="en-AU"/>
    </w:rPr>
  </w:style>
  <w:style w:type="character" w:customStyle="1" w:styleId="FooterChar">
    <w:name w:val="Footer Char"/>
    <w:link w:val="Footer"/>
    <w:uiPriority w:val="99"/>
    <w:rsid w:val="009B6F3D"/>
    <w:rPr>
      <w:rFonts w:eastAsia="Times New Roman"/>
      <w:sz w:val="24"/>
      <w:szCs w:val="24"/>
      <w:lang w:eastAsia="en-AU"/>
    </w:rPr>
  </w:style>
  <w:style w:type="paragraph" w:styleId="BalloonText">
    <w:name w:val="Balloon Text"/>
    <w:basedOn w:val="Normal"/>
    <w:link w:val="BalloonTextChar"/>
    <w:uiPriority w:val="99"/>
    <w:semiHidden/>
    <w:unhideWhenUsed/>
    <w:rsid w:val="009B6F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B6F3D"/>
    <w:rPr>
      <w:rFonts w:ascii="Tahoma" w:eastAsia="Times New Roman" w:hAnsi="Tahoma" w:cs="Tahoma"/>
      <w:sz w:val="16"/>
      <w:szCs w:val="16"/>
      <w:lang w:eastAsia="en-AU"/>
    </w:rPr>
  </w:style>
  <w:style w:type="character" w:styleId="FollowedHyperlink">
    <w:name w:val="FollowedHyperlink"/>
    <w:uiPriority w:val="99"/>
    <w:semiHidden/>
    <w:unhideWhenUsed/>
    <w:rsid w:val="00617141"/>
    <w:rPr>
      <w:color w:val="800080"/>
      <w:u w:val="single"/>
    </w:rPr>
  </w:style>
  <w:style w:type="paragraph" w:customStyle="1" w:styleId="Indent">
    <w:name w:val="Indent"/>
    <w:basedOn w:val="Normal"/>
    <w:qFormat/>
    <w:rsid w:val="009B69B1"/>
    <w:pPr>
      <w:spacing w:after="240" w:line="240" w:lineRule="auto"/>
      <w:ind w:left="357" w:right="357" w:firstLine="0"/>
    </w:pPr>
  </w:style>
  <w:style w:type="paragraph" w:styleId="Revision">
    <w:name w:val="Revision"/>
    <w:hidden/>
    <w:uiPriority w:val="99"/>
    <w:semiHidden/>
    <w:rsid w:val="002417ED"/>
    <w:rPr>
      <w:rFonts w:eastAsia="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apier@rhul.ac.uk" TargetMode="External"/><Relationship Id="rId13" Type="http://schemas.openxmlformats.org/officeDocument/2006/relationships/hyperlink" Target="http://online.wsj.com/article/SB10001424052970203960804577243093554779020.html"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garry.carnegie@rmit.edu.au" TargetMode="External"/><Relationship Id="rId12" Type="http://schemas.openxmlformats.org/officeDocument/2006/relationships/hyperlink" Target="http://www.jstor.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ewrepublic.com/book/review/double-entry-venice-modern-finance-accounting-jane-gleeson-wh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ews.bbc.co.uk/1/hi/business/2147095.s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uardian.co.uk/culture/2012/apr/22/david-starkey-interview-a-bit-hars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bc.co.uk/news/magazine-19662059" TargetMode="External"/><Relationship Id="rId1" Type="http://schemas.openxmlformats.org/officeDocument/2006/relationships/hyperlink" Target="http://www.acaus.or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2954-06E8-4015-891F-FEC43BEE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6997</Words>
  <Characters>39369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Exploring the Use of Accounting History in Post-Enron Stories </vt:lpstr>
    </vt:vector>
  </TitlesOfParts>
  <Company>University of Ballarat</Company>
  <LinksUpToDate>false</LinksUpToDate>
  <CharactersWithSpaces>46274</CharactersWithSpaces>
  <SharedDoc>false</SharedDoc>
  <HLinks>
    <vt:vector size="54" baseType="variant">
      <vt:variant>
        <vt:i4>7340140</vt:i4>
      </vt:variant>
      <vt:variant>
        <vt:i4>18</vt:i4>
      </vt:variant>
      <vt:variant>
        <vt:i4>0</vt:i4>
      </vt:variant>
      <vt:variant>
        <vt:i4>5</vt:i4>
      </vt:variant>
      <vt:variant>
        <vt:lpwstr>http://www.newrepublic.com/book/review/double-entry-venice-modern-finance-accounting-jane-gleeson-white</vt:lpwstr>
      </vt:variant>
      <vt:variant>
        <vt:lpwstr/>
      </vt:variant>
      <vt:variant>
        <vt:i4>6619188</vt:i4>
      </vt:variant>
      <vt:variant>
        <vt:i4>15</vt:i4>
      </vt:variant>
      <vt:variant>
        <vt:i4>0</vt:i4>
      </vt:variant>
      <vt:variant>
        <vt:i4>5</vt:i4>
      </vt:variant>
      <vt:variant>
        <vt:lpwstr>http://news.bbc.co.uk/1/hi/business/2147095.stm</vt:lpwstr>
      </vt:variant>
      <vt:variant>
        <vt:lpwstr/>
      </vt:variant>
      <vt:variant>
        <vt:i4>4587586</vt:i4>
      </vt:variant>
      <vt:variant>
        <vt:i4>12</vt:i4>
      </vt:variant>
      <vt:variant>
        <vt:i4>0</vt:i4>
      </vt:variant>
      <vt:variant>
        <vt:i4>5</vt:i4>
      </vt:variant>
      <vt:variant>
        <vt:lpwstr>http://www.guardian.co.uk/culture/2012/apr/22/david-starkey-interview-a-bit-harsh</vt:lpwstr>
      </vt:variant>
      <vt:variant>
        <vt:lpwstr/>
      </vt:variant>
      <vt:variant>
        <vt:i4>7340072</vt:i4>
      </vt:variant>
      <vt:variant>
        <vt:i4>9</vt:i4>
      </vt:variant>
      <vt:variant>
        <vt:i4>0</vt:i4>
      </vt:variant>
      <vt:variant>
        <vt:i4>5</vt:i4>
      </vt:variant>
      <vt:variant>
        <vt:lpwstr>http://online.wsj.com/article/SB10001424052970203960804577243093554779020.html</vt:lpwstr>
      </vt:variant>
      <vt:variant>
        <vt:lpwstr/>
      </vt:variant>
      <vt:variant>
        <vt:i4>5177360</vt:i4>
      </vt:variant>
      <vt:variant>
        <vt:i4>6</vt:i4>
      </vt:variant>
      <vt:variant>
        <vt:i4>0</vt:i4>
      </vt:variant>
      <vt:variant>
        <vt:i4>5</vt:i4>
      </vt:variant>
      <vt:variant>
        <vt:lpwstr>http://www.jstor.org/</vt:lpwstr>
      </vt:variant>
      <vt:variant>
        <vt:lpwstr/>
      </vt:variant>
      <vt:variant>
        <vt:i4>7209025</vt:i4>
      </vt:variant>
      <vt:variant>
        <vt:i4>3</vt:i4>
      </vt:variant>
      <vt:variant>
        <vt:i4>0</vt:i4>
      </vt:variant>
      <vt:variant>
        <vt:i4>5</vt:i4>
      </vt:variant>
      <vt:variant>
        <vt:lpwstr>mailto:christopher.napier@rhul.ac.uk</vt:lpwstr>
      </vt:variant>
      <vt:variant>
        <vt:lpwstr/>
      </vt:variant>
      <vt:variant>
        <vt:i4>3866629</vt:i4>
      </vt:variant>
      <vt:variant>
        <vt:i4>0</vt:i4>
      </vt:variant>
      <vt:variant>
        <vt:i4>0</vt:i4>
      </vt:variant>
      <vt:variant>
        <vt:i4>5</vt:i4>
      </vt:variant>
      <vt:variant>
        <vt:lpwstr>mailto:garry.carnegie@rmit.edu.au</vt:lpwstr>
      </vt:variant>
      <vt:variant>
        <vt:lpwstr/>
      </vt:variant>
      <vt:variant>
        <vt:i4>3538995</vt:i4>
      </vt:variant>
      <vt:variant>
        <vt:i4>3</vt:i4>
      </vt:variant>
      <vt:variant>
        <vt:i4>0</vt:i4>
      </vt:variant>
      <vt:variant>
        <vt:i4>5</vt:i4>
      </vt:variant>
      <vt:variant>
        <vt:lpwstr>http://www.bbc.co.uk/news/magazine-19662059</vt:lpwstr>
      </vt:variant>
      <vt:variant>
        <vt:lpwstr/>
      </vt:variant>
      <vt:variant>
        <vt:i4>6094938</vt:i4>
      </vt:variant>
      <vt:variant>
        <vt:i4>0</vt:i4>
      </vt:variant>
      <vt:variant>
        <vt:i4>0</vt:i4>
      </vt:variant>
      <vt:variant>
        <vt:i4>5</vt:i4>
      </vt:variant>
      <vt:variant>
        <vt:lpwstr>http://www.acaus.org/history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Use of Accounting History in Post-Enron Stories </dc:title>
  <dc:subject/>
  <dc:creator>University of Ballarat</dc:creator>
  <cp:keywords/>
  <cp:lastModifiedBy>Christopher Napier</cp:lastModifiedBy>
  <cp:revision>2</cp:revision>
  <cp:lastPrinted>2013-02-12T09:02:00Z</cp:lastPrinted>
  <dcterms:created xsi:type="dcterms:W3CDTF">2013-02-27T12:16:00Z</dcterms:created>
  <dcterms:modified xsi:type="dcterms:W3CDTF">2013-02-27T12:16:00Z</dcterms:modified>
</cp:coreProperties>
</file>